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A882A" w14:textId="77777777" w:rsidR="00A53FD3" w:rsidRPr="00AB47AB" w:rsidRDefault="00A53FD3" w:rsidP="009016A1">
      <w:pPr>
        <w:spacing w:after="120"/>
        <w:rPr>
          <w:rFonts w:ascii="Arial Narrow" w:hAnsi="Arial Narrow" w:cs="Arial"/>
          <w:b/>
          <w:bCs/>
          <w:color w:val="E42618"/>
          <w:sz w:val="26"/>
          <w:szCs w:val="26"/>
        </w:rPr>
      </w:pPr>
    </w:p>
    <w:p w14:paraId="6B465D97" w14:textId="3F40A6BE" w:rsidR="0047746A" w:rsidRDefault="007F334A" w:rsidP="009016A1">
      <w:pPr>
        <w:spacing w:after="120"/>
        <w:rPr>
          <w:rFonts w:ascii="Arial Narrow" w:hAnsi="Arial Narrow" w:cs="Arial"/>
          <w:b/>
          <w:bCs/>
          <w:color w:val="E42618"/>
          <w:sz w:val="28"/>
          <w:szCs w:val="28"/>
        </w:rPr>
      </w:pPr>
      <w:r>
        <w:rPr>
          <w:rFonts w:ascii="Arial Narrow" w:hAnsi="Arial Narrow" w:cs="Arial"/>
          <w:b/>
          <w:bCs/>
          <w:color w:val="E42618"/>
          <w:sz w:val="28"/>
          <w:szCs w:val="28"/>
        </w:rPr>
        <w:t xml:space="preserve">MATRIMONI, </w:t>
      </w:r>
      <w:r w:rsidR="00F7614B">
        <w:rPr>
          <w:rFonts w:ascii="Arial Narrow" w:hAnsi="Arial Narrow" w:cs="Arial"/>
          <w:b/>
          <w:bCs/>
          <w:color w:val="E42618"/>
          <w:sz w:val="28"/>
          <w:szCs w:val="28"/>
        </w:rPr>
        <w:t>UNIONI CIVILI</w:t>
      </w:r>
      <w:r>
        <w:rPr>
          <w:rFonts w:ascii="Arial Narrow" w:hAnsi="Arial Narrow" w:cs="Arial"/>
          <w:b/>
          <w:bCs/>
          <w:color w:val="E42618"/>
          <w:sz w:val="28"/>
          <w:szCs w:val="28"/>
        </w:rPr>
        <w:t>, SEPARAZIONI E DIVORZI</w:t>
      </w:r>
      <w:r w:rsidR="00EB1D63">
        <w:rPr>
          <w:rFonts w:ascii="Arial Narrow" w:hAnsi="Arial Narrow" w:cs="Arial"/>
          <w:b/>
          <w:bCs/>
          <w:color w:val="E42618"/>
          <w:sz w:val="28"/>
          <w:szCs w:val="28"/>
        </w:rPr>
        <w:t xml:space="preserve"> </w:t>
      </w:r>
      <w:r w:rsidR="00F7614B" w:rsidRPr="008A7077">
        <w:rPr>
          <w:rFonts w:ascii="Arial Narrow" w:hAnsi="Arial Narrow" w:cs="Arial"/>
          <w:b/>
          <w:bCs/>
          <w:color w:val="1F497D"/>
          <w:sz w:val="28"/>
          <w:szCs w:val="28"/>
        </w:rPr>
        <w:t>|</w:t>
      </w:r>
      <w:r w:rsidR="00EB1D63" w:rsidRPr="00AA345C">
        <w:rPr>
          <w:rFonts w:ascii="Arial Narrow" w:hAnsi="Arial Narrow" w:cs="Arial"/>
          <w:b/>
          <w:bCs/>
          <w:color w:val="E42618"/>
          <w:sz w:val="28"/>
          <w:szCs w:val="28"/>
        </w:rPr>
        <w:t xml:space="preserve"> </w:t>
      </w:r>
      <w:r w:rsidR="002A5447" w:rsidRPr="00792B2D">
        <w:rPr>
          <w:rFonts w:ascii="Arial Narrow" w:hAnsi="Arial Narrow" w:cs="Arial"/>
          <w:b/>
          <w:bCs/>
          <w:color w:val="E42618"/>
          <w:sz w:val="28"/>
          <w:szCs w:val="28"/>
        </w:rPr>
        <w:t>ANN</w:t>
      </w:r>
      <w:r w:rsidR="00764725" w:rsidRPr="00792B2D">
        <w:rPr>
          <w:rFonts w:ascii="Arial Narrow" w:hAnsi="Arial Narrow" w:cs="Arial"/>
          <w:b/>
          <w:bCs/>
          <w:color w:val="E42618"/>
          <w:sz w:val="28"/>
          <w:szCs w:val="28"/>
        </w:rPr>
        <w:t>O</w:t>
      </w:r>
      <w:r w:rsidR="002A5447" w:rsidRPr="00792B2D">
        <w:rPr>
          <w:rFonts w:ascii="Arial Narrow" w:hAnsi="Arial Narrow" w:cs="Arial"/>
          <w:b/>
          <w:bCs/>
          <w:color w:val="E42618"/>
          <w:sz w:val="28"/>
          <w:szCs w:val="28"/>
        </w:rPr>
        <w:t xml:space="preserve"> 20</w:t>
      </w:r>
      <w:r w:rsidR="0088557B">
        <w:rPr>
          <w:rFonts w:ascii="Arial Narrow" w:hAnsi="Arial Narrow" w:cs="Arial"/>
          <w:b/>
          <w:bCs/>
          <w:color w:val="E42618"/>
          <w:sz w:val="28"/>
          <w:szCs w:val="28"/>
        </w:rPr>
        <w:t>2</w:t>
      </w:r>
      <w:r w:rsidR="0009237A">
        <w:rPr>
          <w:rFonts w:ascii="Arial Narrow" w:hAnsi="Arial Narrow" w:cs="Arial"/>
          <w:b/>
          <w:bCs/>
          <w:color w:val="E42618"/>
          <w:sz w:val="28"/>
          <w:szCs w:val="28"/>
        </w:rPr>
        <w:t>2</w:t>
      </w:r>
    </w:p>
    <w:p w14:paraId="05815BC0" w14:textId="77777777" w:rsidR="007E6EAA" w:rsidRPr="0047746A" w:rsidRDefault="007E6EAA" w:rsidP="009016A1">
      <w:pPr>
        <w:tabs>
          <w:tab w:val="left" w:pos="851"/>
        </w:tabs>
        <w:autoSpaceDE w:val="0"/>
        <w:autoSpaceDN w:val="0"/>
        <w:adjustRightInd w:val="0"/>
        <w:jc w:val="both"/>
        <w:rPr>
          <w:rFonts w:ascii="Arial Narrow" w:hAnsi="Arial Narrow" w:cs="Arial"/>
          <w:bCs/>
          <w:color w:val="1F497D" w:themeColor="text2"/>
          <w:sz w:val="18"/>
          <w:szCs w:val="52"/>
        </w:rPr>
      </w:pPr>
    </w:p>
    <w:p w14:paraId="4EA98BD2" w14:textId="4402D119" w:rsidR="00A2532B" w:rsidRPr="00AA345C" w:rsidRDefault="000E5B84" w:rsidP="009016A1">
      <w:pPr>
        <w:tabs>
          <w:tab w:val="left" w:pos="851"/>
        </w:tabs>
        <w:autoSpaceDE w:val="0"/>
        <w:autoSpaceDN w:val="0"/>
        <w:adjustRightInd w:val="0"/>
        <w:jc w:val="both"/>
        <w:rPr>
          <w:rFonts w:ascii="Georgia" w:hAnsi="Georgia" w:cs="Arial"/>
          <w:bCs/>
          <w:color w:val="1F497D" w:themeColor="text2"/>
          <w:spacing w:val="-16"/>
          <w:sz w:val="50"/>
          <w:szCs w:val="50"/>
        </w:rPr>
      </w:pPr>
      <w:r>
        <w:rPr>
          <w:rFonts w:ascii="Georgia" w:hAnsi="Georgia" w:cs="Arial"/>
          <w:bCs/>
          <w:color w:val="1F497D" w:themeColor="text2"/>
          <w:spacing w:val="-16"/>
          <w:sz w:val="50"/>
          <w:szCs w:val="50"/>
        </w:rPr>
        <w:t xml:space="preserve">Matrimoni </w:t>
      </w:r>
      <w:r w:rsidR="00AB47AB">
        <w:rPr>
          <w:rFonts w:ascii="Georgia" w:hAnsi="Georgia" w:cs="Arial"/>
          <w:bCs/>
          <w:color w:val="1F497D" w:themeColor="text2"/>
          <w:spacing w:val="-16"/>
          <w:sz w:val="50"/>
          <w:szCs w:val="50"/>
        </w:rPr>
        <w:t>in</w:t>
      </w:r>
      <w:r w:rsidR="0092144B">
        <w:rPr>
          <w:rFonts w:ascii="Georgia" w:hAnsi="Georgia" w:cs="Arial"/>
          <w:bCs/>
          <w:color w:val="1F497D" w:themeColor="text2"/>
          <w:spacing w:val="-16"/>
          <w:sz w:val="50"/>
          <w:szCs w:val="50"/>
        </w:rPr>
        <w:t xml:space="preserve"> lieve</w:t>
      </w:r>
      <w:r w:rsidR="00AB47AB">
        <w:rPr>
          <w:rFonts w:ascii="Georgia" w:hAnsi="Georgia" w:cs="Arial"/>
          <w:bCs/>
          <w:color w:val="1F497D" w:themeColor="text2"/>
          <w:spacing w:val="-16"/>
          <w:sz w:val="50"/>
          <w:szCs w:val="50"/>
        </w:rPr>
        <w:t xml:space="preserve"> </w:t>
      </w:r>
      <w:r w:rsidR="0092144B">
        <w:rPr>
          <w:rFonts w:ascii="Georgia" w:hAnsi="Georgia" w:cs="Arial"/>
          <w:bCs/>
          <w:color w:val="1F497D" w:themeColor="text2"/>
          <w:spacing w:val="-16"/>
          <w:sz w:val="50"/>
          <w:szCs w:val="50"/>
        </w:rPr>
        <w:t>crescita, unioni civili</w:t>
      </w:r>
      <w:r w:rsidR="00AB47AB">
        <w:rPr>
          <w:rFonts w:ascii="Georgia" w:hAnsi="Georgia" w:cs="Arial"/>
          <w:bCs/>
          <w:color w:val="1F497D" w:themeColor="text2"/>
          <w:spacing w:val="-16"/>
          <w:sz w:val="50"/>
          <w:szCs w:val="50"/>
        </w:rPr>
        <w:t xml:space="preserve"> </w:t>
      </w:r>
      <w:r w:rsidR="0092144B">
        <w:rPr>
          <w:rFonts w:ascii="Georgia" w:hAnsi="Georgia" w:cs="Arial"/>
          <w:bCs/>
          <w:color w:val="1F497D" w:themeColor="text2"/>
          <w:spacing w:val="-16"/>
          <w:sz w:val="50"/>
          <w:szCs w:val="50"/>
        </w:rPr>
        <w:t>in aumento quasi di un terzo</w:t>
      </w:r>
    </w:p>
    <w:p w14:paraId="5965E489" w14:textId="7651FC6D" w:rsidR="007E6EAA" w:rsidRPr="001A62B5" w:rsidRDefault="004A7C23" w:rsidP="009016A1">
      <w:pPr>
        <w:tabs>
          <w:tab w:val="left" w:pos="9482"/>
        </w:tabs>
        <w:autoSpaceDE w:val="0"/>
        <w:autoSpaceDN w:val="0"/>
        <w:adjustRightInd w:val="0"/>
        <w:spacing w:line="360" w:lineRule="exact"/>
        <w:rPr>
          <w:rFonts w:ascii="Georgia" w:hAnsi="Georgia" w:cs="Arial"/>
          <w:bCs/>
          <w:sz w:val="36"/>
          <w:szCs w:val="52"/>
        </w:rPr>
      </w:pPr>
      <w:r>
        <w:rPr>
          <w:rFonts w:ascii="Georgia" w:hAnsi="Georgia" w:cs="Arial"/>
          <w:bCs/>
          <w:noProof/>
          <w:color w:val="1F497D" w:themeColor="text2"/>
          <w:sz w:val="18"/>
          <w:szCs w:val="28"/>
        </w:rPr>
        <mc:AlternateContent>
          <mc:Choice Requires="wps">
            <w:drawing>
              <wp:anchor distT="0" distB="0" distL="114300" distR="114300" simplePos="0" relativeHeight="251683840" behindDoc="0" locked="0" layoutInCell="1" allowOverlap="1" wp14:anchorId="5B7F2D00" wp14:editId="38EE4785">
                <wp:simplePos x="0" y="0"/>
                <wp:positionH relativeFrom="column">
                  <wp:posOffset>-528955</wp:posOffset>
                </wp:positionH>
                <wp:positionV relativeFrom="paragraph">
                  <wp:posOffset>176530</wp:posOffset>
                </wp:positionV>
                <wp:extent cx="438150" cy="381000"/>
                <wp:effectExtent l="0" t="19050" r="38100" b="38100"/>
                <wp:wrapNone/>
                <wp:docPr id="21" name="Freccia a destr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381000"/>
                        </a:xfrm>
                        <a:prstGeom prst="rightArrow">
                          <a:avLst/>
                        </a:prstGeom>
                        <a:solidFill>
                          <a:srgbClr val="E42618"/>
                        </a:solidFill>
                        <a:ln>
                          <a:solidFill>
                            <a:srgbClr val="E426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001D5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21" o:spid="_x0000_s1026" type="#_x0000_t13" style="position:absolute;margin-left:-41.65pt;margin-top:13.9pt;width:34.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" adj="12209" fillcolor="#e42618" strokecolor="#e42618" strokeweight="2pt">
                <v:path arrowok="t"/>
              </v:shape>
            </w:pict>
          </mc:Fallback>
        </mc:AlternateContent>
      </w:r>
    </w:p>
    <w:p w14:paraId="0B21F5AE" w14:textId="77622ECB" w:rsidR="00B74FD1" w:rsidRPr="009016A1" w:rsidRDefault="001B3D84" w:rsidP="00B74FD1">
      <w:pPr>
        <w:pStyle w:val="Default"/>
        <w:tabs>
          <w:tab w:val="left" w:pos="567"/>
        </w:tabs>
        <w:spacing w:after="120" w:line="360" w:lineRule="exact"/>
        <w:jc w:val="both"/>
        <w:rPr>
          <w:rFonts w:ascii="Georgia" w:hAnsi="Georgia" w:cs="Arial"/>
          <w:color w:val="1F497D"/>
          <w:sz w:val="28"/>
          <w:szCs w:val="28"/>
        </w:rPr>
      </w:pPr>
      <w:r>
        <w:rPr>
          <w:rFonts w:ascii="Georgia" w:hAnsi="Georgia" w:cs="Arial"/>
          <w:color w:val="1F497D"/>
          <w:sz w:val="28"/>
          <w:szCs w:val="28"/>
        </w:rPr>
        <w:t xml:space="preserve">Nel </w:t>
      </w:r>
      <w:r w:rsidR="008D500F">
        <w:rPr>
          <w:rFonts w:ascii="Georgia" w:hAnsi="Georgia" w:cs="Arial"/>
          <w:color w:val="1F497D"/>
          <w:sz w:val="28"/>
          <w:szCs w:val="28"/>
        </w:rPr>
        <w:t>202</w:t>
      </w:r>
      <w:r w:rsidR="0092144B">
        <w:rPr>
          <w:rFonts w:ascii="Georgia" w:hAnsi="Georgia" w:cs="Arial"/>
          <w:color w:val="1F497D"/>
          <w:sz w:val="28"/>
          <w:szCs w:val="28"/>
        </w:rPr>
        <w:t>2</w:t>
      </w:r>
      <w:r w:rsidR="008D500F">
        <w:rPr>
          <w:rFonts w:ascii="Georgia" w:hAnsi="Georgia" w:cs="Arial"/>
          <w:color w:val="1F497D"/>
          <w:sz w:val="28"/>
          <w:szCs w:val="28"/>
        </w:rPr>
        <w:t xml:space="preserve"> </w:t>
      </w:r>
      <w:r w:rsidR="00EB1DAD">
        <w:rPr>
          <w:rFonts w:ascii="Georgia" w:hAnsi="Georgia" w:cs="Arial"/>
          <w:color w:val="1F497D"/>
          <w:sz w:val="28"/>
          <w:szCs w:val="28"/>
        </w:rPr>
        <w:t xml:space="preserve">sono stati celebrati in Italia </w:t>
      </w:r>
      <w:r w:rsidR="00EB1DAD" w:rsidRPr="004A41BC">
        <w:rPr>
          <w:rFonts w:ascii="Georgia" w:hAnsi="Georgia" w:cs="Arial"/>
          <w:b/>
          <w:color w:val="1F497D"/>
          <w:sz w:val="28"/>
          <w:szCs w:val="28"/>
        </w:rPr>
        <w:t>18</w:t>
      </w:r>
      <w:r w:rsidR="0092144B" w:rsidRPr="004A41BC">
        <w:rPr>
          <w:rFonts w:ascii="Georgia" w:hAnsi="Georgia" w:cs="Arial"/>
          <w:b/>
          <w:color w:val="1F497D"/>
          <w:sz w:val="28"/>
          <w:szCs w:val="28"/>
        </w:rPr>
        <w:t>9</w:t>
      </w:r>
      <w:r w:rsidR="00EB1DAD" w:rsidRPr="004A41BC">
        <w:rPr>
          <w:rFonts w:ascii="Georgia" w:hAnsi="Georgia" w:cs="Arial"/>
          <w:b/>
          <w:color w:val="1F497D"/>
          <w:sz w:val="28"/>
          <w:szCs w:val="28"/>
        </w:rPr>
        <w:t>.</w:t>
      </w:r>
      <w:r w:rsidR="0092144B" w:rsidRPr="004A41BC">
        <w:rPr>
          <w:rFonts w:ascii="Georgia" w:hAnsi="Georgia" w:cs="Arial"/>
          <w:b/>
          <w:color w:val="1F497D"/>
          <w:sz w:val="28"/>
          <w:szCs w:val="28"/>
        </w:rPr>
        <w:t>140</w:t>
      </w:r>
      <w:r w:rsidR="00EB1DAD" w:rsidRPr="004A41BC">
        <w:rPr>
          <w:rFonts w:ascii="Georgia" w:hAnsi="Georgia" w:cs="Arial"/>
          <w:b/>
          <w:color w:val="1F497D"/>
          <w:sz w:val="28"/>
          <w:szCs w:val="28"/>
        </w:rPr>
        <w:t xml:space="preserve"> </w:t>
      </w:r>
      <w:r w:rsidR="008D500F" w:rsidRPr="004A41BC">
        <w:rPr>
          <w:rFonts w:ascii="Georgia" w:hAnsi="Georgia" w:cs="Arial"/>
          <w:b/>
          <w:color w:val="1F497D"/>
          <w:sz w:val="28"/>
          <w:szCs w:val="28"/>
        </w:rPr>
        <w:t>matrimoni</w:t>
      </w:r>
      <w:r w:rsidR="00804FDE">
        <w:rPr>
          <w:rFonts w:ascii="Georgia" w:hAnsi="Georgia" w:cs="Arial"/>
          <w:color w:val="1F497D"/>
          <w:sz w:val="28"/>
          <w:szCs w:val="28"/>
        </w:rPr>
        <w:t xml:space="preserve">, </w:t>
      </w:r>
      <w:r w:rsidR="0092144B">
        <w:rPr>
          <w:rFonts w:ascii="Georgia" w:hAnsi="Georgia" w:cs="Arial"/>
          <w:color w:val="1F497D"/>
          <w:sz w:val="28"/>
          <w:szCs w:val="28"/>
        </w:rPr>
        <w:t xml:space="preserve">il 4,8% in più rispetto </w:t>
      </w:r>
      <w:r w:rsidR="003A36C5">
        <w:rPr>
          <w:rFonts w:ascii="Georgia" w:hAnsi="Georgia" w:cs="Arial"/>
          <w:color w:val="1F497D"/>
          <w:sz w:val="28"/>
          <w:szCs w:val="28"/>
        </w:rPr>
        <w:t>al 2021</w:t>
      </w:r>
      <w:r w:rsidR="0092144B">
        <w:rPr>
          <w:rFonts w:ascii="Georgia" w:hAnsi="Georgia" w:cs="Arial"/>
          <w:color w:val="1F497D"/>
          <w:sz w:val="28"/>
          <w:szCs w:val="28"/>
        </w:rPr>
        <w:t xml:space="preserve"> e il 2,7% </w:t>
      </w:r>
      <w:r w:rsidR="00732838">
        <w:rPr>
          <w:rFonts w:ascii="Georgia" w:hAnsi="Georgia" w:cs="Arial"/>
          <w:color w:val="1F497D"/>
          <w:sz w:val="28"/>
          <w:szCs w:val="28"/>
        </w:rPr>
        <w:t xml:space="preserve">in più </w:t>
      </w:r>
      <w:r w:rsidR="00F376B6">
        <w:rPr>
          <w:rFonts w:ascii="Georgia" w:hAnsi="Georgia" w:cs="Arial"/>
          <w:color w:val="1F497D"/>
          <w:sz w:val="28"/>
          <w:szCs w:val="28"/>
        </w:rPr>
        <w:t xml:space="preserve">in confronto </w:t>
      </w:r>
      <w:r w:rsidR="00804FDE">
        <w:rPr>
          <w:rFonts w:ascii="Georgia" w:hAnsi="Georgia" w:cs="Arial"/>
          <w:color w:val="1F497D"/>
          <w:sz w:val="28"/>
          <w:szCs w:val="28"/>
        </w:rPr>
        <w:t>al</w:t>
      </w:r>
      <w:r w:rsidR="00F316FC">
        <w:rPr>
          <w:rFonts w:ascii="Georgia" w:hAnsi="Georgia" w:cs="Arial"/>
          <w:color w:val="1F497D"/>
          <w:sz w:val="28"/>
          <w:szCs w:val="28"/>
        </w:rPr>
        <w:t xml:space="preserve"> 2019, </w:t>
      </w:r>
      <w:r w:rsidR="003F21CE">
        <w:rPr>
          <w:rFonts w:ascii="Georgia" w:hAnsi="Georgia" w:cs="Arial"/>
          <w:color w:val="1F497D"/>
          <w:sz w:val="28"/>
          <w:szCs w:val="28"/>
        </w:rPr>
        <w:t>anno</w:t>
      </w:r>
      <w:r w:rsidR="00804FDE">
        <w:rPr>
          <w:rFonts w:ascii="Georgia" w:hAnsi="Georgia" w:cs="Arial"/>
          <w:color w:val="1F497D"/>
          <w:sz w:val="28"/>
          <w:szCs w:val="28"/>
        </w:rPr>
        <w:t xml:space="preserve"> </w:t>
      </w:r>
      <w:r w:rsidR="0092144B">
        <w:rPr>
          <w:rFonts w:ascii="Georgia" w:hAnsi="Georgia" w:cs="Arial"/>
          <w:color w:val="1F497D"/>
          <w:sz w:val="28"/>
          <w:szCs w:val="28"/>
        </w:rPr>
        <w:t>pr</w:t>
      </w:r>
      <w:r w:rsidR="00F316FC">
        <w:rPr>
          <w:rFonts w:ascii="Georgia" w:hAnsi="Georgia" w:cs="Arial"/>
          <w:color w:val="1F497D"/>
          <w:sz w:val="28"/>
          <w:szCs w:val="28"/>
        </w:rPr>
        <w:t xml:space="preserve">ecedente </w:t>
      </w:r>
      <w:r w:rsidR="00EB1DAD">
        <w:rPr>
          <w:rFonts w:ascii="Georgia" w:hAnsi="Georgia" w:cs="Arial"/>
          <w:color w:val="1F497D"/>
          <w:sz w:val="28"/>
          <w:szCs w:val="28"/>
        </w:rPr>
        <w:t>la crisi pandemica</w:t>
      </w:r>
      <w:r w:rsidR="003F21CE">
        <w:rPr>
          <w:rFonts w:ascii="Georgia" w:hAnsi="Georgia" w:cs="Arial"/>
          <w:color w:val="1F497D"/>
          <w:sz w:val="28"/>
          <w:szCs w:val="28"/>
        </w:rPr>
        <w:t xml:space="preserve"> </w:t>
      </w:r>
      <w:r w:rsidR="00F376B6">
        <w:rPr>
          <w:rFonts w:ascii="Georgia" w:hAnsi="Georgia" w:cs="Arial"/>
          <w:color w:val="1F497D"/>
          <w:sz w:val="28"/>
          <w:szCs w:val="28"/>
        </w:rPr>
        <w:t xml:space="preserve">(durante la quale </w:t>
      </w:r>
      <w:r w:rsidR="00804FDE">
        <w:rPr>
          <w:rFonts w:ascii="Georgia" w:hAnsi="Georgia" w:cs="Arial"/>
          <w:color w:val="1F497D"/>
          <w:sz w:val="28"/>
          <w:szCs w:val="28"/>
        </w:rPr>
        <w:t xml:space="preserve">molte coppie </w:t>
      </w:r>
      <w:r w:rsidR="00F376B6">
        <w:rPr>
          <w:rFonts w:ascii="Georgia" w:hAnsi="Georgia" w:cs="Arial"/>
          <w:color w:val="1F497D"/>
          <w:sz w:val="28"/>
          <w:szCs w:val="28"/>
        </w:rPr>
        <w:t xml:space="preserve">hanno </w:t>
      </w:r>
      <w:r w:rsidR="00804FDE">
        <w:rPr>
          <w:rFonts w:ascii="Georgia" w:hAnsi="Georgia" w:cs="Arial"/>
          <w:color w:val="1F497D"/>
          <w:sz w:val="28"/>
          <w:szCs w:val="28"/>
        </w:rPr>
        <w:t>rinvia</w:t>
      </w:r>
      <w:r w:rsidR="00F376B6">
        <w:rPr>
          <w:rFonts w:ascii="Georgia" w:hAnsi="Georgia" w:cs="Arial"/>
          <w:color w:val="1F497D"/>
          <w:sz w:val="28"/>
          <w:szCs w:val="28"/>
        </w:rPr>
        <w:t>to</w:t>
      </w:r>
      <w:r w:rsidR="00804FDE">
        <w:rPr>
          <w:rFonts w:ascii="Georgia" w:hAnsi="Georgia" w:cs="Arial"/>
          <w:color w:val="1F497D"/>
          <w:sz w:val="28"/>
          <w:szCs w:val="28"/>
        </w:rPr>
        <w:t xml:space="preserve"> le</w:t>
      </w:r>
      <w:r w:rsidR="0092144B">
        <w:rPr>
          <w:rFonts w:ascii="Georgia" w:hAnsi="Georgia" w:cs="Arial"/>
          <w:color w:val="1F497D"/>
          <w:sz w:val="28"/>
          <w:szCs w:val="28"/>
        </w:rPr>
        <w:t xml:space="preserve"> </w:t>
      </w:r>
      <w:r w:rsidR="00804FDE">
        <w:rPr>
          <w:rFonts w:ascii="Georgia" w:hAnsi="Georgia" w:cs="Arial"/>
          <w:color w:val="1F497D"/>
          <w:sz w:val="28"/>
          <w:szCs w:val="28"/>
        </w:rPr>
        <w:t>nozze</w:t>
      </w:r>
      <w:r w:rsidR="00F376B6">
        <w:rPr>
          <w:rFonts w:ascii="Georgia" w:hAnsi="Georgia" w:cs="Arial"/>
          <w:color w:val="1F497D"/>
          <w:sz w:val="28"/>
          <w:szCs w:val="28"/>
        </w:rPr>
        <w:t>)</w:t>
      </w:r>
      <w:r w:rsidR="00804FDE">
        <w:rPr>
          <w:rFonts w:ascii="Georgia" w:hAnsi="Georgia" w:cs="Arial"/>
          <w:color w:val="1F497D"/>
          <w:sz w:val="28"/>
          <w:szCs w:val="28"/>
        </w:rPr>
        <w:t xml:space="preserve">. </w:t>
      </w:r>
    </w:p>
    <w:p w14:paraId="77DFBD7D" w14:textId="03031B6B" w:rsidR="00D3375E" w:rsidRPr="00367E60" w:rsidRDefault="008B5275" w:rsidP="00D3375E">
      <w:pPr>
        <w:pStyle w:val="Default"/>
        <w:tabs>
          <w:tab w:val="left" w:pos="567"/>
        </w:tabs>
        <w:spacing w:after="120" w:line="360" w:lineRule="exact"/>
        <w:jc w:val="both"/>
        <w:rPr>
          <w:rFonts w:ascii="Georgia" w:hAnsi="Georgia" w:cs="Arial"/>
          <w:color w:val="1F497D"/>
          <w:sz w:val="28"/>
          <w:szCs w:val="28"/>
        </w:rPr>
      </w:pPr>
      <w:r w:rsidRPr="00CD0A01">
        <w:rPr>
          <w:rFonts w:ascii="Georgia" w:hAnsi="Georgia" w:cs="Arial"/>
          <w:color w:val="1F497D"/>
          <w:sz w:val="28"/>
          <w:szCs w:val="28"/>
        </w:rPr>
        <w:t>I matrimoni religiosi</w:t>
      </w:r>
      <w:r w:rsidR="00117E13">
        <w:rPr>
          <w:rFonts w:ascii="Georgia" w:hAnsi="Georgia" w:cs="Arial"/>
          <w:color w:val="1F497D"/>
          <w:sz w:val="28"/>
          <w:szCs w:val="28"/>
        </w:rPr>
        <w:t>,</w:t>
      </w:r>
      <w:r w:rsidR="00CD0A01" w:rsidRPr="00CD0A01">
        <w:rPr>
          <w:rFonts w:ascii="Georgia" w:hAnsi="Georgia" w:cs="Arial"/>
          <w:color w:val="1F497D"/>
          <w:sz w:val="28"/>
          <w:szCs w:val="28"/>
        </w:rPr>
        <w:t xml:space="preserve"> </w:t>
      </w:r>
      <w:r w:rsidR="00507FC7">
        <w:rPr>
          <w:rFonts w:ascii="Georgia" w:hAnsi="Georgia" w:cs="Arial"/>
          <w:color w:val="1F497D"/>
          <w:sz w:val="28"/>
          <w:szCs w:val="28"/>
        </w:rPr>
        <w:t>pressoché</w:t>
      </w:r>
      <w:r w:rsidR="0007749C">
        <w:rPr>
          <w:rFonts w:ascii="Georgia" w:hAnsi="Georgia" w:cs="Arial"/>
          <w:color w:val="1F497D"/>
          <w:sz w:val="28"/>
          <w:szCs w:val="28"/>
        </w:rPr>
        <w:t xml:space="preserve"> </w:t>
      </w:r>
      <w:r w:rsidR="00CD0A01" w:rsidRPr="00CD0A01">
        <w:rPr>
          <w:rFonts w:ascii="Georgia" w:hAnsi="Georgia" w:cs="Arial"/>
          <w:color w:val="1F497D"/>
          <w:sz w:val="28"/>
          <w:szCs w:val="28"/>
        </w:rPr>
        <w:t>stabili rispetto al</w:t>
      </w:r>
      <w:r w:rsidR="00BE5E4D">
        <w:rPr>
          <w:rFonts w:ascii="Georgia" w:hAnsi="Georgia" w:cs="Arial"/>
          <w:color w:val="1F497D"/>
          <w:sz w:val="28"/>
          <w:szCs w:val="28"/>
        </w:rPr>
        <w:t xml:space="preserve"> 2021</w:t>
      </w:r>
      <w:r w:rsidR="00CD0A01" w:rsidRPr="00CD0A01">
        <w:rPr>
          <w:rFonts w:ascii="Georgia" w:hAnsi="Georgia" w:cs="Arial"/>
          <w:color w:val="1F497D"/>
          <w:sz w:val="28"/>
          <w:szCs w:val="28"/>
        </w:rPr>
        <w:t xml:space="preserve"> (-0,5%)</w:t>
      </w:r>
      <w:r w:rsidR="003D1221" w:rsidRPr="00CD0A01">
        <w:rPr>
          <w:rFonts w:ascii="Georgia" w:hAnsi="Georgia" w:cs="Arial"/>
          <w:color w:val="1F497D"/>
          <w:sz w:val="28"/>
          <w:szCs w:val="28"/>
        </w:rPr>
        <w:t>,</w:t>
      </w:r>
      <w:r w:rsidRPr="00CD0A01">
        <w:rPr>
          <w:rFonts w:ascii="Georgia" w:hAnsi="Georgia" w:cs="Arial"/>
          <w:color w:val="1F497D"/>
          <w:sz w:val="28"/>
          <w:szCs w:val="28"/>
        </w:rPr>
        <w:t xml:space="preserve"> </w:t>
      </w:r>
      <w:r w:rsidR="0007749C">
        <w:rPr>
          <w:rFonts w:ascii="Georgia" w:hAnsi="Georgia" w:cs="Arial"/>
          <w:color w:val="1F497D"/>
          <w:sz w:val="28"/>
          <w:szCs w:val="28"/>
        </w:rPr>
        <w:t xml:space="preserve">diminuiscono sensibilmente </w:t>
      </w:r>
      <w:r w:rsidR="006111AA" w:rsidRPr="00CD0A01">
        <w:rPr>
          <w:rFonts w:ascii="Georgia" w:hAnsi="Georgia" w:cs="Arial"/>
          <w:color w:val="1F497D"/>
          <w:sz w:val="28"/>
          <w:szCs w:val="28"/>
        </w:rPr>
        <w:t>(-5,</w:t>
      </w:r>
      <w:r w:rsidR="00CD0A01" w:rsidRPr="00CD0A01">
        <w:rPr>
          <w:rFonts w:ascii="Georgia" w:hAnsi="Georgia" w:cs="Arial"/>
          <w:color w:val="1F497D"/>
          <w:sz w:val="28"/>
          <w:szCs w:val="28"/>
        </w:rPr>
        <w:t>6</w:t>
      </w:r>
      <w:r w:rsidR="006111AA" w:rsidRPr="00CD0A01">
        <w:rPr>
          <w:rFonts w:ascii="Georgia" w:hAnsi="Georgia" w:cs="Arial"/>
          <w:color w:val="1F497D"/>
          <w:sz w:val="28"/>
          <w:szCs w:val="28"/>
        </w:rPr>
        <w:t xml:space="preserve">%) </w:t>
      </w:r>
      <w:r w:rsidRPr="00CD0A01">
        <w:rPr>
          <w:rFonts w:ascii="Georgia" w:hAnsi="Georgia" w:cs="Arial"/>
          <w:color w:val="1F497D"/>
          <w:sz w:val="28"/>
          <w:szCs w:val="28"/>
        </w:rPr>
        <w:t xml:space="preserve">rispetto al </w:t>
      </w:r>
      <w:r w:rsidR="00B74FD1" w:rsidRPr="00CD0A01">
        <w:rPr>
          <w:rFonts w:ascii="Georgia" w:hAnsi="Georgia" w:cs="Arial"/>
          <w:color w:val="1F497D"/>
          <w:sz w:val="28"/>
          <w:szCs w:val="28"/>
        </w:rPr>
        <w:t>periodo pre-pandemico.</w:t>
      </w:r>
      <w:r w:rsidR="00A205C2">
        <w:rPr>
          <w:rFonts w:ascii="Georgia" w:hAnsi="Georgia" w:cs="Arial"/>
          <w:color w:val="1F497D"/>
          <w:sz w:val="28"/>
          <w:szCs w:val="28"/>
        </w:rPr>
        <w:t xml:space="preserve"> </w:t>
      </w:r>
    </w:p>
    <w:p w14:paraId="4115E402" w14:textId="5138F47A" w:rsidR="000A3C52" w:rsidRPr="009016A1" w:rsidRDefault="00B9479D" w:rsidP="00603E05">
      <w:pPr>
        <w:pStyle w:val="Default"/>
        <w:tabs>
          <w:tab w:val="left" w:pos="567"/>
        </w:tabs>
        <w:spacing w:after="120" w:line="360" w:lineRule="exact"/>
        <w:jc w:val="both"/>
        <w:rPr>
          <w:rFonts w:ascii="Georgia" w:hAnsi="Georgia" w:cs="Arial"/>
          <w:color w:val="1F497D"/>
          <w:sz w:val="28"/>
          <w:szCs w:val="28"/>
        </w:rPr>
      </w:pPr>
      <w:r>
        <w:rPr>
          <w:rFonts w:ascii="Georgia" w:hAnsi="Georgia" w:cs="Arial"/>
          <w:color w:val="1F497D" w:themeColor="text2"/>
          <w:sz w:val="28"/>
          <w:szCs w:val="28"/>
        </w:rPr>
        <w:t>N</w:t>
      </w:r>
      <w:r w:rsidR="00B951F9">
        <w:rPr>
          <w:rFonts w:ascii="Georgia" w:hAnsi="Georgia" w:cs="Arial"/>
          <w:color w:val="1F497D" w:themeColor="text2"/>
          <w:sz w:val="28"/>
          <w:szCs w:val="28"/>
        </w:rPr>
        <w:t>ei</w:t>
      </w:r>
      <w:r w:rsidR="00C33A9B" w:rsidRPr="00F01EEB">
        <w:rPr>
          <w:rFonts w:ascii="Georgia" w:hAnsi="Georgia" w:cs="Arial"/>
          <w:color w:val="1F497D" w:themeColor="text2"/>
          <w:sz w:val="28"/>
          <w:szCs w:val="28"/>
        </w:rPr>
        <w:t xml:space="preserve"> primi </w:t>
      </w:r>
      <w:r w:rsidR="00FC0043">
        <w:rPr>
          <w:rFonts w:ascii="Georgia" w:hAnsi="Georgia" w:cs="Arial"/>
          <w:color w:val="1F497D" w:themeColor="text2"/>
          <w:sz w:val="28"/>
          <w:szCs w:val="28"/>
        </w:rPr>
        <w:t>otto</w:t>
      </w:r>
      <w:r w:rsidR="00C33A9B" w:rsidRPr="00F01EEB">
        <w:rPr>
          <w:rFonts w:ascii="Georgia" w:hAnsi="Georgia" w:cs="Arial"/>
          <w:color w:val="1F497D" w:themeColor="text2"/>
          <w:sz w:val="28"/>
          <w:szCs w:val="28"/>
        </w:rPr>
        <w:t xml:space="preserve"> mesi del </w:t>
      </w:r>
      <w:r w:rsidR="00B74FD1" w:rsidRPr="00F01EEB">
        <w:rPr>
          <w:rFonts w:ascii="Georgia" w:hAnsi="Georgia" w:cs="Arial"/>
          <w:color w:val="1F497D" w:themeColor="text2"/>
          <w:sz w:val="28"/>
          <w:szCs w:val="28"/>
        </w:rPr>
        <w:t>202</w:t>
      </w:r>
      <w:r w:rsidR="00FC0043">
        <w:rPr>
          <w:rFonts w:ascii="Georgia" w:hAnsi="Georgia" w:cs="Arial"/>
          <w:color w:val="1F497D" w:themeColor="text2"/>
          <w:sz w:val="28"/>
          <w:szCs w:val="28"/>
        </w:rPr>
        <w:t>3</w:t>
      </w:r>
      <w:r w:rsidR="00C33A9B" w:rsidRPr="00F01EEB">
        <w:rPr>
          <w:rFonts w:ascii="Georgia" w:hAnsi="Georgia" w:cs="Arial"/>
          <w:color w:val="1F497D" w:themeColor="text2"/>
          <w:sz w:val="28"/>
          <w:szCs w:val="28"/>
        </w:rPr>
        <w:t xml:space="preserve"> </w:t>
      </w:r>
      <w:r w:rsidR="00434FF3" w:rsidRPr="00F01EEB">
        <w:rPr>
          <w:rFonts w:ascii="Georgia" w:hAnsi="Georgia" w:cs="Arial"/>
          <w:color w:val="1F497D" w:themeColor="text2"/>
          <w:sz w:val="28"/>
          <w:szCs w:val="28"/>
        </w:rPr>
        <w:t>i dati provvisori indicano</w:t>
      </w:r>
      <w:r w:rsidR="00B951F9">
        <w:rPr>
          <w:rFonts w:ascii="Georgia" w:hAnsi="Georgia" w:cs="Arial"/>
          <w:color w:val="1F497D" w:themeColor="text2"/>
          <w:sz w:val="28"/>
          <w:szCs w:val="28"/>
        </w:rPr>
        <w:t xml:space="preserve"> </w:t>
      </w:r>
      <w:r w:rsidR="00B951F9" w:rsidRPr="00F01EEB">
        <w:rPr>
          <w:rFonts w:ascii="Georgia" w:hAnsi="Georgia" w:cs="Arial"/>
          <w:color w:val="1F497D" w:themeColor="text2"/>
          <w:sz w:val="28"/>
          <w:szCs w:val="28"/>
        </w:rPr>
        <w:t>un</w:t>
      </w:r>
      <w:r w:rsidR="00FC0043">
        <w:rPr>
          <w:rFonts w:ascii="Georgia" w:hAnsi="Georgia" w:cs="Arial"/>
          <w:color w:val="1F497D" w:themeColor="text2"/>
          <w:sz w:val="28"/>
          <w:szCs w:val="28"/>
        </w:rPr>
        <w:t>a nuova diminuzione</w:t>
      </w:r>
      <w:r w:rsidR="00B12116">
        <w:rPr>
          <w:rFonts w:ascii="Georgia" w:hAnsi="Georgia" w:cs="Arial"/>
          <w:color w:val="1F497D" w:themeColor="text2"/>
          <w:sz w:val="28"/>
          <w:szCs w:val="28"/>
        </w:rPr>
        <w:t xml:space="preserve"> dei matrimoni</w:t>
      </w:r>
      <w:r w:rsidR="00FC0043">
        <w:rPr>
          <w:rFonts w:ascii="Georgia" w:hAnsi="Georgia" w:cs="Arial"/>
          <w:color w:val="1F497D" w:themeColor="text2"/>
          <w:sz w:val="28"/>
          <w:szCs w:val="28"/>
        </w:rPr>
        <w:t xml:space="preserve"> </w:t>
      </w:r>
      <w:r w:rsidR="006111AA" w:rsidRPr="00F01EEB">
        <w:rPr>
          <w:rFonts w:ascii="Georgia" w:hAnsi="Georgia" w:cs="Arial"/>
          <w:color w:val="1F497D" w:themeColor="text2"/>
          <w:sz w:val="28"/>
          <w:szCs w:val="28"/>
        </w:rPr>
        <w:t>(</w:t>
      </w:r>
      <w:r w:rsidR="00FC0043">
        <w:rPr>
          <w:rFonts w:ascii="Georgia" w:hAnsi="Georgia" w:cs="Arial"/>
          <w:color w:val="1F497D" w:themeColor="text2"/>
          <w:sz w:val="28"/>
          <w:szCs w:val="28"/>
        </w:rPr>
        <w:t>-6,7</w:t>
      </w:r>
      <w:r w:rsidR="006111AA" w:rsidRPr="00F01EEB">
        <w:rPr>
          <w:rFonts w:ascii="Georgia" w:hAnsi="Georgia" w:cs="Arial"/>
          <w:color w:val="1F497D" w:themeColor="text2"/>
          <w:sz w:val="28"/>
          <w:szCs w:val="28"/>
        </w:rPr>
        <w:t>%</w:t>
      </w:r>
      <w:r w:rsidR="00FC0043">
        <w:rPr>
          <w:rFonts w:ascii="Georgia" w:hAnsi="Georgia" w:cs="Arial"/>
          <w:color w:val="1F497D" w:themeColor="text2"/>
          <w:sz w:val="28"/>
          <w:szCs w:val="28"/>
        </w:rPr>
        <w:t>)</w:t>
      </w:r>
      <w:r w:rsidR="006111AA" w:rsidRPr="00F01EEB">
        <w:rPr>
          <w:rFonts w:ascii="Georgia" w:hAnsi="Georgia" w:cs="Arial"/>
          <w:color w:val="1F497D" w:themeColor="text2"/>
          <w:sz w:val="28"/>
          <w:szCs w:val="28"/>
        </w:rPr>
        <w:t xml:space="preserve"> </w:t>
      </w:r>
      <w:r w:rsidR="00434FF3" w:rsidRPr="00F01EEB">
        <w:rPr>
          <w:rFonts w:ascii="Georgia" w:hAnsi="Georgia" w:cs="Arial"/>
          <w:color w:val="1F497D" w:themeColor="text2"/>
          <w:sz w:val="28"/>
          <w:szCs w:val="28"/>
        </w:rPr>
        <w:t>rispetto allo stesso periodo del 202</w:t>
      </w:r>
      <w:r w:rsidR="00FC0043">
        <w:rPr>
          <w:rFonts w:ascii="Georgia" w:hAnsi="Georgia" w:cs="Arial"/>
          <w:color w:val="1F497D" w:themeColor="text2"/>
          <w:sz w:val="28"/>
          <w:szCs w:val="28"/>
        </w:rPr>
        <w:t>2</w:t>
      </w:r>
      <w:r w:rsidR="009E72E8" w:rsidRPr="00F01EEB">
        <w:rPr>
          <w:rFonts w:ascii="Georgia" w:hAnsi="Georgia" w:cs="Arial"/>
          <w:color w:val="1F497D" w:themeColor="text2"/>
          <w:sz w:val="28"/>
          <w:szCs w:val="28"/>
        </w:rPr>
        <w:t>.</w:t>
      </w:r>
      <w:r w:rsidR="00D3375E" w:rsidRPr="00F01EEB">
        <w:rPr>
          <w:rFonts w:ascii="Georgia" w:hAnsi="Georgia" w:cs="Arial"/>
          <w:color w:val="1F497D" w:themeColor="text2"/>
          <w:sz w:val="28"/>
          <w:szCs w:val="28"/>
        </w:rPr>
        <w:t xml:space="preserve"> </w:t>
      </w:r>
    </w:p>
    <w:p w14:paraId="0525BD58" w14:textId="77777777" w:rsidR="004E1B65" w:rsidRPr="00D341CD" w:rsidRDefault="004E1B65" w:rsidP="009016A1">
      <w:pPr>
        <w:pStyle w:val="Default"/>
        <w:tabs>
          <w:tab w:val="left" w:pos="567"/>
        </w:tabs>
        <w:spacing w:after="120"/>
        <w:jc w:val="both"/>
        <w:rPr>
          <w:rFonts w:ascii="Georgia" w:hAnsi="Georgia" w:cs="Arial"/>
          <w:bCs/>
          <w:color w:val="1F497D" w:themeColor="text2"/>
          <w:sz w:val="28"/>
          <w:szCs w:val="28"/>
        </w:rPr>
      </w:pPr>
    </w:p>
    <w:tbl>
      <w:tblPr>
        <w:tblStyle w:val="Grigliatabella"/>
        <w:tblW w:w="11925" w:type="dxa"/>
        <w:tblInd w:w="-851" w:type="dxa"/>
        <w:tblBorders>
          <w:top w:val="none" w:sz="0" w:space="0" w:color="auto"/>
          <w:left w:val="none" w:sz="0" w:space="0" w:color="auto"/>
          <w:bottom w:val="none" w:sz="0" w:space="0" w:color="auto"/>
          <w:right w:val="single" w:sz="8" w:space="0" w:color="FFFFFF" w:themeColor="background1"/>
          <w:insideH w:val="none" w:sz="0" w:space="0" w:color="auto"/>
          <w:insideV w:val="single" w:sz="12" w:space="0" w:color="FFFFFF" w:themeColor="background1"/>
        </w:tblBorders>
        <w:tblLayout w:type="fixed"/>
        <w:tblCellMar>
          <w:left w:w="113" w:type="dxa"/>
          <w:right w:w="113" w:type="dxa"/>
        </w:tblCellMar>
        <w:tblLook w:val="04A0" w:firstRow="1" w:lastRow="0" w:firstColumn="1" w:lastColumn="0" w:noHBand="0" w:noVBand="1"/>
      </w:tblPr>
      <w:tblGrid>
        <w:gridCol w:w="3909"/>
        <w:gridCol w:w="3795"/>
        <w:gridCol w:w="4221"/>
      </w:tblGrid>
      <w:tr w:rsidR="007E6EAA" w14:paraId="13883145" w14:textId="77777777" w:rsidTr="00C21635">
        <w:trPr>
          <w:trHeight w:val="61"/>
        </w:trPr>
        <w:tc>
          <w:tcPr>
            <w:tcW w:w="11925" w:type="dxa"/>
            <w:gridSpan w:val="3"/>
            <w:shd w:val="clear" w:color="auto" w:fill="D9D9D9" w:themeFill="background1" w:themeFillShade="D9"/>
          </w:tcPr>
          <w:p w14:paraId="06F22BD5" w14:textId="569B85FE" w:rsidR="003A460A" w:rsidRPr="007539EA" w:rsidRDefault="003A460A" w:rsidP="00D37ABF">
            <w:pPr>
              <w:tabs>
                <w:tab w:val="left" w:pos="1401"/>
                <w:tab w:val="left" w:pos="2295"/>
              </w:tabs>
              <w:autoSpaceDE w:val="0"/>
              <w:autoSpaceDN w:val="0"/>
              <w:adjustRightInd w:val="0"/>
              <w:rPr>
                <w:rFonts w:ascii="Georgia" w:hAnsi="Georgia" w:cs="Arial"/>
                <w:b/>
                <w:bCs/>
                <w:color w:val="1F497D" w:themeColor="text2"/>
                <w:sz w:val="16"/>
                <w:szCs w:val="16"/>
              </w:rPr>
            </w:pPr>
          </w:p>
        </w:tc>
      </w:tr>
      <w:tr w:rsidR="001A62B5" w:rsidRPr="001A62B5" w14:paraId="48D6EE13" w14:textId="77777777" w:rsidTr="00C21635">
        <w:trPr>
          <w:trHeight w:val="3433"/>
        </w:trPr>
        <w:tc>
          <w:tcPr>
            <w:tcW w:w="3909" w:type="dxa"/>
            <w:shd w:val="clear" w:color="auto" w:fill="D9D9D9" w:themeFill="background1" w:themeFillShade="D9"/>
          </w:tcPr>
          <w:p w14:paraId="069F0E26" w14:textId="30300635" w:rsidR="00B17555" w:rsidRPr="00D30485" w:rsidRDefault="00367E60" w:rsidP="00DB749C">
            <w:pPr>
              <w:tabs>
                <w:tab w:val="left" w:pos="312"/>
                <w:tab w:val="left" w:pos="2575"/>
              </w:tabs>
              <w:autoSpaceDE w:val="0"/>
              <w:autoSpaceDN w:val="0"/>
              <w:adjustRightInd w:val="0"/>
              <w:ind w:left="312" w:right="570"/>
              <w:rPr>
                <w:rFonts w:ascii="Georgia" w:hAnsi="Georgia" w:cs="Arial"/>
                <w:bCs/>
                <w:color w:val="E42618"/>
                <w:sz w:val="72"/>
                <w:szCs w:val="72"/>
              </w:rPr>
            </w:pPr>
            <w:r w:rsidRPr="00D30485">
              <w:rPr>
                <w:rFonts w:ascii="Georgia" w:hAnsi="Georgia" w:cs="Arial"/>
                <w:bCs/>
                <w:color w:val="E42618"/>
                <w:sz w:val="72"/>
                <w:szCs w:val="72"/>
              </w:rPr>
              <w:t>14</w:t>
            </w:r>
            <w:r w:rsidR="00C60023" w:rsidRPr="00D30485">
              <w:rPr>
                <w:rFonts w:ascii="Georgia" w:hAnsi="Georgia" w:cs="Arial"/>
                <w:bCs/>
                <w:color w:val="E42618"/>
                <w:sz w:val="72"/>
                <w:szCs w:val="72"/>
              </w:rPr>
              <w:t>6</w:t>
            </w:r>
            <w:r w:rsidR="00160774" w:rsidRPr="00D30485">
              <w:rPr>
                <w:rFonts w:ascii="Georgia" w:hAnsi="Georgia" w:cs="Arial"/>
                <w:bCs/>
                <w:color w:val="E42618"/>
                <w:sz w:val="72"/>
                <w:szCs w:val="72"/>
              </w:rPr>
              <w:t>.</w:t>
            </w:r>
            <w:r w:rsidR="00C60023" w:rsidRPr="00D30485">
              <w:rPr>
                <w:rFonts w:ascii="Georgia" w:hAnsi="Georgia" w:cs="Arial"/>
                <w:bCs/>
                <w:color w:val="E42618"/>
                <w:sz w:val="72"/>
                <w:szCs w:val="72"/>
              </w:rPr>
              <w:t>222</w:t>
            </w:r>
          </w:p>
          <w:p w14:paraId="1EEE7A89" w14:textId="77777777" w:rsidR="00B17555" w:rsidRPr="00D30485" w:rsidRDefault="00B17555" w:rsidP="00DB749C">
            <w:pPr>
              <w:tabs>
                <w:tab w:val="left" w:pos="171"/>
              </w:tabs>
              <w:autoSpaceDE w:val="0"/>
              <w:autoSpaceDN w:val="0"/>
              <w:adjustRightInd w:val="0"/>
              <w:ind w:left="312"/>
              <w:rPr>
                <w:rFonts w:ascii="Georgia" w:hAnsi="Georgia" w:cs="Arial"/>
                <w:b/>
                <w:bCs/>
                <w:color w:val="1F497D" w:themeColor="text2"/>
                <w:sz w:val="26"/>
                <w:szCs w:val="26"/>
              </w:rPr>
            </w:pPr>
          </w:p>
          <w:p w14:paraId="1C16F27F" w14:textId="71C26A41" w:rsidR="00A519F5" w:rsidRPr="00D30485" w:rsidRDefault="00E746CD" w:rsidP="00DB749C">
            <w:pPr>
              <w:tabs>
                <w:tab w:val="left" w:pos="171"/>
                <w:tab w:val="left" w:pos="454"/>
                <w:tab w:val="left" w:pos="2575"/>
              </w:tabs>
              <w:autoSpaceDE w:val="0"/>
              <w:autoSpaceDN w:val="0"/>
              <w:adjustRightInd w:val="0"/>
              <w:ind w:left="312" w:right="570"/>
              <w:rPr>
                <w:rFonts w:ascii="Georgia" w:hAnsi="Georgia" w:cs="Arial"/>
                <w:b/>
                <w:bCs/>
                <w:color w:val="E42618"/>
                <w:sz w:val="26"/>
                <w:szCs w:val="26"/>
              </w:rPr>
            </w:pPr>
            <w:r w:rsidRPr="00D30485">
              <w:rPr>
                <w:rFonts w:ascii="Georgia" w:hAnsi="Georgia" w:cs="Arial"/>
                <w:b/>
                <w:bCs/>
                <w:color w:val="E42618"/>
                <w:sz w:val="26"/>
                <w:szCs w:val="26"/>
              </w:rPr>
              <w:t>I primi matrimoni nel 202</w:t>
            </w:r>
            <w:r w:rsidR="00C60023" w:rsidRPr="00D30485">
              <w:rPr>
                <w:rFonts w:ascii="Georgia" w:hAnsi="Georgia" w:cs="Arial"/>
                <w:b/>
                <w:bCs/>
                <w:color w:val="E42618"/>
                <w:sz w:val="26"/>
                <w:szCs w:val="26"/>
              </w:rPr>
              <w:t>2 (+2,7)</w:t>
            </w:r>
          </w:p>
          <w:p w14:paraId="3C62786F" w14:textId="106257E7" w:rsidR="00A519F5" w:rsidRDefault="00A519F5" w:rsidP="00791272">
            <w:pPr>
              <w:tabs>
                <w:tab w:val="left" w:pos="171"/>
                <w:tab w:val="left" w:pos="454"/>
                <w:tab w:val="left" w:pos="2575"/>
              </w:tabs>
              <w:autoSpaceDE w:val="0"/>
              <w:autoSpaceDN w:val="0"/>
              <w:adjustRightInd w:val="0"/>
              <w:ind w:left="312" w:right="570"/>
              <w:rPr>
                <w:rFonts w:ascii="Georgia" w:hAnsi="Georgia" w:cs="Arial"/>
                <w:b/>
                <w:bCs/>
                <w:color w:val="E42618"/>
                <w:sz w:val="26"/>
                <w:szCs w:val="26"/>
              </w:rPr>
            </w:pPr>
          </w:p>
          <w:p w14:paraId="1340C689" w14:textId="77777777" w:rsidR="0052382C" w:rsidRPr="00D30485" w:rsidRDefault="0052382C" w:rsidP="00791272">
            <w:pPr>
              <w:tabs>
                <w:tab w:val="left" w:pos="171"/>
                <w:tab w:val="left" w:pos="454"/>
                <w:tab w:val="left" w:pos="2575"/>
              </w:tabs>
              <w:autoSpaceDE w:val="0"/>
              <w:autoSpaceDN w:val="0"/>
              <w:adjustRightInd w:val="0"/>
              <w:ind w:left="312" w:right="570"/>
              <w:rPr>
                <w:rFonts w:ascii="Georgia" w:hAnsi="Georgia" w:cs="Arial"/>
                <w:b/>
                <w:bCs/>
                <w:color w:val="E42618"/>
                <w:sz w:val="26"/>
                <w:szCs w:val="26"/>
              </w:rPr>
            </w:pPr>
          </w:p>
          <w:p w14:paraId="27D2FA68" w14:textId="7AEDB90C" w:rsidR="003F3ED2" w:rsidRPr="00DA088F" w:rsidRDefault="004176BC" w:rsidP="00791272">
            <w:pPr>
              <w:tabs>
                <w:tab w:val="left" w:pos="171"/>
                <w:tab w:val="left" w:pos="454"/>
                <w:tab w:val="left" w:pos="2575"/>
              </w:tabs>
              <w:autoSpaceDE w:val="0"/>
              <w:autoSpaceDN w:val="0"/>
              <w:adjustRightInd w:val="0"/>
              <w:ind w:left="312" w:right="570"/>
              <w:rPr>
                <w:rFonts w:ascii="Georgia" w:hAnsi="Georgia" w:cs="Arial"/>
                <w:b/>
                <w:bCs/>
                <w:color w:val="E42618"/>
                <w:sz w:val="26"/>
                <w:szCs w:val="26"/>
              </w:rPr>
            </w:pPr>
            <w:r w:rsidRPr="00D30485">
              <w:rPr>
                <w:rFonts w:ascii="Arial Narrow" w:hAnsi="Arial Narrow" w:cs="Arial"/>
                <w:bCs/>
                <w:color w:val="1F497D"/>
              </w:rPr>
              <w:t>Sono 2</w:t>
            </w:r>
            <w:r w:rsidR="00D30485" w:rsidRPr="00D30485">
              <w:rPr>
                <w:rFonts w:ascii="Arial Narrow" w:hAnsi="Arial Narrow" w:cs="Arial"/>
                <w:bCs/>
                <w:color w:val="1F497D"/>
              </w:rPr>
              <w:t>9</w:t>
            </w:r>
            <w:r w:rsidRPr="00D30485">
              <w:rPr>
                <w:rFonts w:ascii="Arial Narrow" w:hAnsi="Arial Narrow" w:cs="Arial"/>
                <w:bCs/>
                <w:color w:val="1F497D"/>
              </w:rPr>
              <w:t>.</w:t>
            </w:r>
            <w:r w:rsidR="00D30485" w:rsidRPr="00D30485">
              <w:rPr>
                <w:rFonts w:ascii="Arial Narrow" w:hAnsi="Arial Narrow" w:cs="Arial"/>
                <w:bCs/>
                <w:color w:val="1F497D"/>
              </w:rPr>
              <w:t>574</w:t>
            </w:r>
            <w:r w:rsidRPr="00D30485">
              <w:rPr>
                <w:rFonts w:ascii="Arial Narrow" w:hAnsi="Arial Narrow" w:cs="Arial"/>
                <w:bCs/>
                <w:color w:val="1F497D"/>
              </w:rPr>
              <w:t xml:space="preserve"> le nozze con almeno uno sposo straniero (+2</w:t>
            </w:r>
            <w:r w:rsidR="000D7092">
              <w:rPr>
                <w:rFonts w:ascii="Arial Narrow" w:hAnsi="Arial Narrow" w:cs="Arial"/>
                <w:bCs/>
                <w:color w:val="1F497D"/>
              </w:rPr>
              <w:t>1</w:t>
            </w:r>
            <w:r w:rsidRPr="00D30485">
              <w:rPr>
                <w:rFonts w:ascii="Arial Narrow" w:hAnsi="Arial Narrow" w:cs="Arial"/>
                <w:bCs/>
                <w:color w:val="1F497D"/>
              </w:rPr>
              <w:t>,</w:t>
            </w:r>
            <w:r w:rsidR="000D7092">
              <w:rPr>
                <w:rFonts w:ascii="Arial Narrow" w:hAnsi="Arial Narrow" w:cs="Arial"/>
                <w:bCs/>
                <w:color w:val="1F497D"/>
              </w:rPr>
              <w:t>3</w:t>
            </w:r>
            <w:r w:rsidRPr="00D30485">
              <w:rPr>
                <w:rFonts w:ascii="Arial Narrow" w:hAnsi="Arial Narrow" w:cs="Arial"/>
                <w:bCs/>
                <w:color w:val="1F497D"/>
              </w:rPr>
              <w:t>%)</w:t>
            </w:r>
          </w:p>
          <w:p w14:paraId="7C7CE806" w14:textId="4C7015A4" w:rsidR="007E6EAA" w:rsidRPr="00DA088F" w:rsidRDefault="007E6EAA" w:rsidP="001271E8">
            <w:pPr>
              <w:tabs>
                <w:tab w:val="left" w:pos="851"/>
                <w:tab w:val="left" w:pos="2575"/>
              </w:tabs>
              <w:autoSpaceDE w:val="0"/>
              <w:autoSpaceDN w:val="0"/>
              <w:adjustRightInd w:val="0"/>
              <w:ind w:right="570"/>
              <w:rPr>
                <w:rFonts w:ascii="Arial Narrow" w:hAnsi="Arial Narrow" w:cs="Arial"/>
                <w:bCs/>
                <w:color w:val="E42618"/>
              </w:rPr>
            </w:pPr>
          </w:p>
        </w:tc>
        <w:tc>
          <w:tcPr>
            <w:tcW w:w="3795" w:type="dxa"/>
            <w:shd w:val="clear" w:color="auto" w:fill="D9D9D9" w:themeFill="background1" w:themeFillShade="D9"/>
          </w:tcPr>
          <w:p w14:paraId="698C65D2" w14:textId="35BEA459" w:rsidR="00DD61BC" w:rsidRPr="007F2A69" w:rsidRDefault="00367E60" w:rsidP="008D79A1">
            <w:pPr>
              <w:tabs>
                <w:tab w:val="left" w:pos="851"/>
                <w:tab w:val="left" w:pos="2575"/>
              </w:tabs>
              <w:autoSpaceDE w:val="0"/>
              <w:autoSpaceDN w:val="0"/>
              <w:adjustRightInd w:val="0"/>
              <w:ind w:left="171" w:right="570"/>
              <w:rPr>
                <w:rFonts w:ascii="Georgia" w:hAnsi="Georgia" w:cs="Arial"/>
                <w:bCs/>
                <w:color w:val="1F497D"/>
                <w:sz w:val="72"/>
                <w:szCs w:val="72"/>
              </w:rPr>
            </w:pPr>
            <w:r w:rsidRPr="007F2A69">
              <w:rPr>
                <w:rFonts w:ascii="Georgia" w:hAnsi="Georgia" w:cs="Arial"/>
                <w:bCs/>
                <w:color w:val="1F497D"/>
                <w:sz w:val="72"/>
                <w:szCs w:val="72"/>
              </w:rPr>
              <w:t>2</w:t>
            </w:r>
            <w:r w:rsidR="003677D9" w:rsidRPr="007F2A69">
              <w:rPr>
                <w:rFonts w:ascii="Georgia" w:hAnsi="Georgia" w:cs="Arial"/>
                <w:bCs/>
                <w:color w:val="1F497D"/>
                <w:sz w:val="72"/>
                <w:szCs w:val="72"/>
              </w:rPr>
              <w:t>.</w:t>
            </w:r>
            <w:r w:rsidR="00FC0043">
              <w:rPr>
                <w:rFonts w:ascii="Georgia" w:hAnsi="Georgia" w:cs="Arial"/>
                <w:bCs/>
                <w:color w:val="1F497D"/>
                <w:sz w:val="72"/>
                <w:szCs w:val="72"/>
              </w:rPr>
              <w:t>813</w:t>
            </w:r>
          </w:p>
          <w:p w14:paraId="4A2B23CC" w14:textId="77777777" w:rsidR="00DD61BC" w:rsidRPr="009016A1" w:rsidRDefault="00DD61BC" w:rsidP="009016A1">
            <w:pPr>
              <w:tabs>
                <w:tab w:val="left" w:pos="0"/>
                <w:tab w:val="left" w:pos="2575"/>
              </w:tabs>
              <w:autoSpaceDE w:val="0"/>
              <w:autoSpaceDN w:val="0"/>
              <w:adjustRightInd w:val="0"/>
              <w:ind w:right="570"/>
              <w:rPr>
                <w:rFonts w:ascii="Georgia" w:hAnsi="Georgia" w:cs="Arial"/>
                <w:b/>
                <w:bCs/>
                <w:color w:val="1F497D"/>
                <w:sz w:val="22"/>
                <w:szCs w:val="22"/>
              </w:rPr>
            </w:pPr>
          </w:p>
          <w:p w14:paraId="74092245" w14:textId="10F1E292" w:rsidR="00DD61BC" w:rsidRPr="009016A1" w:rsidRDefault="009B4429" w:rsidP="008D79A1">
            <w:pPr>
              <w:tabs>
                <w:tab w:val="left" w:pos="851"/>
                <w:tab w:val="left" w:pos="2575"/>
              </w:tabs>
              <w:autoSpaceDE w:val="0"/>
              <w:autoSpaceDN w:val="0"/>
              <w:adjustRightInd w:val="0"/>
              <w:ind w:left="171" w:right="570"/>
              <w:rPr>
                <w:rFonts w:ascii="Georgia" w:hAnsi="Georgia" w:cs="Arial"/>
                <w:b/>
                <w:bCs/>
                <w:color w:val="1F497D"/>
                <w:sz w:val="26"/>
                <w:szCs w:val="26"/>
              </w:rPr>
            </w:pPr>
            <w:r w:rsidRPr="009016A1">
              <w:rPr>
                <w:rFonts w:ascii="Georgia" w:hAnsi="Georgia" w:cs="Arial"/>
                <w:b/>
                <w:bCs/>
                <w:color w:val="1F497D"/>
                <w:sz w:val="26"/>
                <w:szCs w:val="26"/>
              </w:rPr>
              <w:t>Le</w:t>
            </w:r>
            <w:r w:rsidR="006D1D66" w:rsidRPr="009016A1">
              <w:rPr>
                <w:rFonts w:ascii="Georgia" w:hAnsi="Georgia" w:cs="Arial"/>
                <w:b/>
                <w:bCs/>
                <w:color w:val="1F497D"/>
                <w:sz w:val="26"/>
                <w:szCs w:val="26"/>
              </w:rPr>
              <w:t xml:space="preserve"> </w:t>
            </w:r>
            <w:r w:rsidR="003677D9" w:rsidRPr="009016A1">
              <w:rPr>
                <w:rFonts w:ascii="Georgia" w:hAnsi="Georgia" w:cs="Arial"/>
                <w:b/>
                <w:bCs/>
                <w:color w:val="1F497D"/>
                <w:sz w:val="26"/>
                <w:szCs w:val="26"/>
              </w:rPr>
              <w:t>unioni</w:t>
            </w:r>
            <w:r w:rsidR="006D1D66" w:rsidRPr="009016A1">
              <w:rPr>
                <w:rFonts w:ascii="Georgia" w:hAnsi="Georgia" w:cs="Arial"/>
                <w:b/>
                <w:bCs/>
                <w:color w:val="1F497D"/>
                <w:sz w:val="26"/>
                <w:szCs w:val="26"/>
              </w:rPr>
              <w:t xml:space="preserve"> </w:t>
            </w:r>
            <w:r w:rsidR="00C43EAB" w:rsidRPr="009016A1">
              <w:rPr>
                <w:rFonts w:ascii="Georgia" w:hAnsi="Georgia" w:cs="Arial"/>
                <w:b/>
                <w:bCs/>
                <w:color w:val="1F497D"/>
                <w:sz w:val="26"/>
                <w:szCs w:val="26"/>
              </w:rPr>
              <w:t xml:space="preserve">tra partner </w:t>
            </w:r>
            <w:r w:rsidR="006D1D66" w:rsidRPr="009016A1">
              <w:rPr>
                <w:rFonts w:ascii="Georgia" w:hAnsi="Georgia" w:cs="Arial"/>
                <w:b/>
                <w:bCs/>
                <w:color w:val="1F497D"/>
                <w:sz w:val="26"/>
                <w:szCs w:val="26"/>
              </w:rPr>
              <w:t>dello stesso sesso</w:t>
            </w:r>
            <w:r w:rsidR="00D341CD" w:rsidRPr="009016A1">
              <w:rPr>
                <w:rFonts w:ascii="Georgia" w:hAnsi="Georgia" w:cs="Arial"/>
                <w:b/>
                <w:bCs/>
                <w:color w:val="1F497D"/>
                <w:sz w:val="26"/>
                <w:szCs w:val="26"/>
              </w:rPr>
              <w:t xml:space="preserve"> </w:t>
            </w:r>
            <w:r w:rsidR="00B9479D">
              <w:rPr>
                <w:rFonts w:ascii="Georgia" w:hAnsi="Georgia" w:cs="Arial"/>
                <w:b/>
                <w:bCs/>
                <w:color w:val="1F497D"/>
                <w:sz w:val="26"/>
                <w:szCs w:val="26"/>
              </w:rPr>
              <w:t>(</w:t>
            </w:r>
            <w:r w:rsidR="00964BAE">
              <w:rPr>
                <w:rFonts w:ascii="Georgia" w:hAnsi="Georgia" w:cs="Arial"/>
                <w:b/>
                <w:bCs/>
                <w:color w:val="1F497D"/>
                <w:sz w:val="26"/>
                <w:szCs w:val="26"/>
              </w:rPr>
              <w:t>+3</w:t>
            </w:r>
            <w:r w:rsidR="00FC0043">
              <w:rPr>
                <w:rFonts w:ascii="Georgia" w:hAnsi="Georgia" w:cs="Arial"/>
                <w:b/>
                <w:bCs/>
                <w:color w:val="1F497D"/>
                <w:sz w:val="26"/>
                <w:szCs w:val="26"/>
              </w:rPr>
              <w:t>1</w:t>
            </w:r>
            <w:r w:rsidR="00A27B24">
              <w:rPr>
                <w:rFonts w:ascii="Georgia" w:hAnsi="Georgia" w:cs="Arial"/>
                <w:b/>
                <w:bCs/>
                <w:color w:val="1F497D"/>
                <w:sz w:val="26"/>
                <w:szCs w:val="26"/>
              </w:rPr>
              <w:t>%</w:t>
            </w:r>
            <w:r w:rsidR="00B9479D">
              <w:rPr>
                <w:rFonts w:ascii="Georgia" w:hAnsi="Georgia" w:cs="Arial"/>
                <w:b/>
                <w:bCs/>
                <w:color w:val="1F497D"/>
                <w:sz w:val="26"/>
                <w:szCs w:val="26"/>
              </w:rPr>
              <w:t>)</w:t>
            </w:r>
            <w:r w:rsidR="00964BAE">
              <w:rPr>
                <w:rFonts w:ascii="Georgia" w:hAnsi="Georgia" w:cs="Arial"/>
                <w:b/>
                <w:bCs/>
                <w:color w:val="1F497D"/>
                <w:sz w:val="26"/>
                <w:szCs w:val="26"/>
              </w:rPr>
              <w:t xml:space="preserve"> </w:t>
            </w:r>
          </w:p>
          <w:p w14:paraId="43E39BA7" w14:textId="77777777" w:rsidR="006D1D66" w:rsidRPr="00DA088F" w:rsidRDefault="006D1D66" w:rsidP="006D1D66">
            <w:pPr>
              <w:tabs>
                <w:tab w:val="left" w:pos="0"/>
              </w:tabs>
              <w:autoSpaceDE w:val="0"/>
              <w:autoSpaceDN w:val="0"/>
              <w:adjustRightInd w:val="0"/>
              <w:rPr>
                <w:rFonts w:ascii="Georgia" w:hAnsi="Georgia" w:cs="Arial"/>
                <w:b/>
                <w:bCs/>
                <w:color w:val="244061" w:themeColor="accent1" w:themeShade="80"/>
                <w:sz w:val="28"/>
                <w:szCs w:val="28"/>
              </w:rPr>
            </w:pPr>
          </w:p>
          <w:p w14:paraId="498C4350" w14:textId="0EC4EC86" w:rsidR="006D1D66" w:rsidRPr="00DA088F" w:rsidRDefault="006D1D66" w:rsidP="00791272">
            <w:pPr>
              <w:tabs>
                <w:tab w:val="left" w:pos="851"/>
                <w:tab w:val="left" w:pos="2575"/>
              </w:tabs>
              <w:autoSpaceDE w:val="0"/>
              <w:autoSpaceDN w:val="0"/>
              <w:adjustRightInd w:val="0"/>
              <w:ind w:right="570"/>
              <w:rPr>
                <w:rFonts w:ascii="Georgia" w:hAnsi="Georgia" w:cs="Arial"/>
                <w:b/>
                <w:bCs/>
                <w:color w:val="244061" w:themeColor="accent1" w:themeShade="80"/>
                <w:sz w:val="28"/>
                <w:szCs w:val="28"/>
              </w:rPr>
            </w:pPr>
          </w:p>
        </w:tc>
        <w:tc>
          <w:tcPr>
            <w:tcW w:w="4220" w:type="dxa"/>
            <w:shd w:val="clear" w:color="auto" w:fill="D9D9D9" w:themeFill="background1" w:themeFillShade="D9"/>
            <w:tcMar>
              <w:left w:w="284" w:type="dxa"/>
              <w:right w:w="284" w:type="dxa"/>
            </w:tcMar>
          </w:tcPr>
          <w:p w14:paraId="406A0C68" w14:textId="15DAF863" w:rsidR="00C233B1" w:rsidRPr="00964AE6" w:rsidRDefault="002E1F59" w:rsidP="00655188">
            <w:pPr>
              <w:tabs>
                <w:tab w:val="left" w:pos="851"/>
                <w:tab w:val="left" w:pos="2575"/>
              </w:tabs>
              <w:autoSpaceDE w:val="0"/>
              <w:autoSpaceDN w:val="0"/>
              <w:adjustRightInd w:val="0"/>
              <w:ind w:right="570"/>
              <w:rPr>
                <w:rFonts w:ascii="Georgia" w:hAnsi="Georgia" w:cs="Arial"/>
                <w:bCs/>
                <w:color w:val="E42618"/>
                <w:sz w:val="72"/>
                <w:szCs w:val="72"/>
              </w:rPr>
            </w:pPr>
            <w:r w:rsidRPr="00964AE6">
              <w:rPr>
                <w:rFonts w:ascii="Georgia" w:hAnsi="Georgia" w:cs="Arial"/>
                <w:bCs/>
                <w:color w:val="E42618"/>
                <w:sz w:val="72"/>
                <w:szCs w:val="72"/>
              </w:rPr>
              <w:t>89</w:t>
            </w:r>
            <w:r w:rsidR="009B4429" w:rsidRPr="00964AE6">
              <w:rPr>
                <w:rFonts w:ascii="Georgia" w:hAnsi="Georgia" w:cs="Arial"/>
                <w:bCs/>
                <w:color w:val="E42618"/>
                <w:sz w:val="72"/>
                <w:szCs w:val="72"/>
              </w:rPr>
              <w:t>.</w:t>
            </w:r>
            <w:r w:rsidRPr="00964AE6">
              <w:rPr>
                <w:rFonts w:ascii="Georgia" w:hAnsi="Georgia" w:cs="Arial"/>
                <w:bCs/>
                <w:color w:val="E42618"/>
                <w:sz w:val="72"/>
                <w:szCs w:val="72"/>
              </w:rPr>
              <w:t>907</w:t>
            </w:r>
          </w:p>
          <w:p w14:paraId="10C76733" w14:textId="77777777" w:rsidR="00360814" w:rsidRPr="00FC0043" w:rsidRDefault="00360814" w:rsidP="001F726A">
            <w:pPr>
              <w:tabs>
                <w:tab w:val="left" w:pos="851"/>
                <w:tab w:val="left" w:pos="2575"/>
              </w:tabs>
              <w:autoSpaceDE w:val="0"/>
              <w:autoSpaceDN w:val="0"/>
              <w:adjustRightInd w:val="0"/>
              <w:ind w:right="570"/>
              <w:rPr>
                <w:rFonts w:ascii="Georgia" w:hAnsi="Georgia" w:cs="Arial"/>
                <w:b/>
                <w:bCs/>
                <w:color w:val="E42618"/>
                <w:sz w:val="26"/>
                <w:szCs w:val="26"/>
                <w:highlight w:val="green"/>
              </w:rPr>
            </w:pPr>
          </w:p>
          <w:p w14:paraId="3CCA0090" w14:textId="293F8D2F" w:rsidR="004E1B65" w:rsidRDefault="009500B3" w:rsidP="001F726A">
            <w:pPr>
              <w:tabs>
                <w:tab w:val="left" w:pos="851"/>
                <w:tab w:val="left" w:pos="2575"/>
              </w:tabs>
              <w:autoSpaceDE w:val="0"/>
              <w:autoSpaceDN w:val="0"/>
              <w:adjustRightInd w:val="0"/>
              <w:ind w:right="570"/>
              <w:rPr>
                <w:rFonts w:ascii="Georgia" w:hAnsi="Georgia" w:cs="Arial"/>
                <w:b/>
                <w:bCs/>
                <w:color w:val="E42618"/>
                <w:sz w:val="26"/>
                <w:szCs w:val="26"/>
              </w:rPr>
            </w:pPr>
            <w:r>
              <w:rPr>
                <w:rFonts w:ascii="Georgia" w:hAnsi="Georgia" w:cs="Arial"/>
                <w:b/>
                <w:bCs/>
                <w:color w:val="E42618"/>
                <w:sz w:val="26"/>
                <w:szCs w:val="26"/>
              </w:rPr>
              <w:t xml:space="preserve">Il numero di </w:t>
            </w:r>
            <w:r w:rsidR="002E1F59">
              <w:rPr>
                <w:rFonts w:ascii="Georgia" w:hAnsi="Georgia" w:cs="Arial"/>
                <w:b/>
                <w:bCs/>
                <w:color w:val="E42618"/>
                <w:sz w:val="26"/>
                <w:szCs w:val="26"/>
              </w:rPr>
              <w:t>separazioni (-8,2%)</w:t>
            </w:r>
          </w:p>
          <w:p w14:paraId="7ED3F308" w14:textId="64BD6A6A" w:rsidR="00DD61BC" w:rsidRPr="00DA088F" w:rsidRDefault="00DD61BC" w:rsidP="001F726A">
            <w:pPr>
              <w:tabs>
                <w:tab w:val="left" w:pos="851"/>
                <w:tab w:val="left" w:pos="2575"/>
              </w:tabs>
              <w:autoSpaceDE w:val="0"/>
              <w:autoSpaceDN w:val="0"/>
              <w:adjustRightInd w:val="0"/>
              <w:ind w:right="570"/>
              <w:rPr>
                <w:rFonts w:ascii="Georgia" w:hAnsi="Georgia" w:cs="Arial"/>
                <w:b/>
                <w:bCs/>
                <w:color w:val="E42618"/>
                <w:sz w:val="26"/>
                <w:szCs w:val="26"/>
              </w:rPr>
            </w:pPr>
          </w:p>
          <w:p w14:paraId="241F69ED" w14:textId="77777777" w:rsidR="002A0328" w:rsidRPr="0052382C" w:rsidRDefault="002A0328" w:rsidP="001F726A">
            <w:pPr>
              <w:tabs>
                <w:tab w:val="left" w:pos="851"/>
                <w:tab w:val="left" w:pos="2575"/>
              </w:tabs>
              <w:autoSpaceDE w:val="0"/>
              <w:autoSpaceDN w:val="0"/>
              <w:adjustRightInd w:val="0"/>
              <w:ind w:right="570"/>
              <w:rPr>
                <w:rFonts w:ascii="Georgia" w:hAnsi="Georgia" w:cs="Arial"/>
                <w:b/>
                <w:bCs/>
                <w:color w:val="E42618"/>
                <w:sz w:val="28"/>
                <w:szCs w:val="28"/>
              </w:rPr>
            </w:pPr>
          </w:p>
          <w:p w14:paraId="0032640E" w14:textId="0440A2B7" w:rsidR="002A0328" w:rsidRPr="00DA088F" w:rsidRDefault="002E1F59" w:rsidP="002E1F59">
            <w:pPr>
              <w:rPr>
                <w:rFonts w:ascii="Georgia" w:hAnsi="Georgia" w:cs="Arial"/>
                <w:sz w:val="26"/>
                <w:szCs w:val="26"/>
              </w:rPr>
            </w:pPr>
            <w:r>
              <w:rPr>
                <w:rFonts w:ascii="Arial Narrow" w:hAnsi="Arial Narrow" w:cs="Arial"/>
                <w:bCs/>
                <w:color w:val="1F497D"/>
              </w:rPr>
              <w:t>Stabili i divorzi (82.596; -0,7%)</w:t>
            </w:r>
          </w:p>
        </w:tc>
      </w:tr>
      <w:tr w:rsidR="008A7077" w:rsidRPr="001A62B5" w14:paraId="533416D1" w14:textId="77777777" w:rsidTr="00C21635">
        <w:trPr>
          <w:trHeight w:val="16"/>
        </w:trPr>
        <w:tc>
          <w:tcPr>
            <w:tcW w:w="11925" w:type="dxa"/>
            <w:gridSpan w:val="3"/>
            <w:shd w:val="clear" w:color="auto" w:fill="D9D9D9" w:themeFill="background1" w:themeFillShade="D9"/>
          </w:tcPr>
          <w:p w14:paraId="0A53FD96" w14:textId="77777777" w:rsidR="008A7077" w:rsidRPr="008A7077" w:rsidRDefault="008A7077" w:rsidP="00A2532B">
            <w:pPr>
              <w:tabs>
                <w:tab w:val="left" w:pos="851"/>
                <w:tab w:val="left" w:pos="2575"/>
              </w:tabs>
              <w:autoSpaceDE w:val="0"/>
              <w:autoSpaceDN w:val="0"/>
              <w:adjustRightInd w:val="0"/>
              <w:ind w:right="570"/>
              <w:rPr>
                <w:rFonts w:ascii="Georgia" w:hAnsi="Georgia" w:cs="Arial"/>
                <w:bCs/>
                <w:color w:val="E42618"/>
                <w:sz w:val="16"/>
                <w:szCs w:val="16"/>
              </w:rPr>
            </w:pPr>
          </w:p>
        </w:tc>
      </w:tr>
    </w:tbl>
    <w:p w14:paraId="2E4F3B44" w14:textId="77777777" w:rsidR="00C65721" w:rsidRPr="0058002A" w:rsidRDefault="00C65721" w:rsidP="00F8783D">
      <w:pPr>
        <w:rPr>
          <w:rFonts w:ascii="Arial" w:hAnsi="Arial" w:cs="Arial"/>
          <w:iCs/>
          <w:noProof/>
          <w:color w:val="000000"/>
          <w:sz w:val="20"/>
          <w:szCs w:val="20"/>
        </w:rPr>
        <w:sectPr w:rsidR="00C65721" w:rsidRPr="0058002A" w:rsidSect="001F726A">
          <w:footerReference w:type="even" r:id="rId8"/>
          <w:footerReference w:type="default" r:id="rId9"/>
          <w:headerReference w:type="first" r:id="rId10"/>
          <w:footerReference w:type="first" r:id="rId11"/>
          <w:type w:val="continuous"/>
          <w:pgSz w:w="11906" w:h="16838"/>
          <w:pgMar w:top="0" w:right="851" w:bottom="680" w:left="851" w:header="0" w:footer="0" w:gutter="0"/>
          <w:pgNumType w:start="1"/>
          <w:cols w:space="708"/>
          <w:titlePg/>
          <w:docGrid w:linePitch="360"/>
        </w:sectPr>
      </w:pPr>
    </w:p>
    <w:p w14:paraId="77E3947D" w14:textId="6C935EA5" w:rsidR="001567B2" w:rsidRPr="00115DEF" w:rsidRDefault="00FC0043" w:rsidP="008C37B7">
      <w:pPr>
        <w:shd w:val="clear" w:color="auto" w:fill="FFFFFF" w:themeFill="background1"/>
        <w:spacing w:after="120"/>
        <w:jc w:val="both"/>
        <w:outlineLvl w:val="0"/>
        <w:rPr>
          <w:rFonts w:ascii="Arial" w:hAnsi="Arial" w:cs="Arial"/>
          <w:b/>
          <w:color w:val="1F497D" w:themeColor="text2"/>
          <w:sz w:val="26"/>
          <w:szCs w:val="26"/>
        </w:rPr>
      </w:pPr>
      <w:r>
        <w:rPr>
          <w:rFonts w:ascii="Arial" w:hAnsi="Arial" w:cs="Arial"/>
          <w:b/>
          <w:color w:val="1F497D" w:themeColor="text2"/>
          <w:sz w:val="26"/>
          <w:szCs w:val="26"/>
        </w:rPr>
        <w:lastRenderedPageBreak/>
        <w:t>Matrimoni</w:t>
      </w:r>
      <w:r w:rsidR="00C955A5" w:rsidRPr="00A37AF6">
        <w:rPr>
          <w:rFonts w:ascii="Arial" w:hAnsi="Arial" w:cs="Arial"/>
          <w:b/>
          <w:color w:val="1F497D" w:themeColor="text2"/>
          <w:sz w:val="26"/>
          <w:szCs w:val="26"/>
        </w:rPr>
        <w:t xml:space="preserve"> </w:t>
      </w:r>
      <w:r w:rsidR="00905A75">
        <w:rPr>
          <w:rFonts w:ascii="Arial" w:hAnsi="Arial" w:cs="Arial"/>
          <w:b/>
          <w:color w:val="1F497D" w:themeColor="text2"/>
          <w:sz w:val="26"/>
          <w:szCs w:val="26"/>
        </w:rPr>
        <w:t xml:space="preserve">in </w:t>
      </w:r>
      <w:r>
        <w:rPr>
          <w:rFonts w:ascii="Arial" w:hAnsi="Arial" w:cs="Arial"/>
          <w:b/>
          <w:color w:val="1F497D" w:themeColor="text2"/>
          <w:sz w:val="26"/>
          <w:szCs w:val="26"/>
        </w:rPr>
        <w:t xml:space="preserve">lieve </w:t>
      </w:r>
      <w:r w:rsidR="008C37B7">
        <w:rPr>
          <w:rFonts w:ascii="Arial" w:hAnsi="Arial" w:cs="Arial"/>
          <w:b/>
          <w:color w:val="1F497D" w:themeColor="text2"/>
          <w:sz w:val="26"/>
          <w:szCs w:val="26"/>
        </w:rPr>
        <w:t>aumento</w:t>
      </w:r>
      <w:r w:rsidR="00905A75">
        <w:rPr>
          <w:rFonts w:ascii="Arial" w:hAnsi="Arial" w:cs="Arial"/>
          <w:b/>
          <w:color w:val="1F497D" w:themeColor="text2"/>
          <w:sz w:val="26"/>
          <w:szCs w:val="26"/>
        </w:rPr>
        <w:t xml:space="preserve"> </w:t>
      </w:r>
      <w:r>
        <w:rPr>
          <w:rFonts w:ascii="Arial" w:hAnsi="Arial" w:cs="Arial"/>
          <w:b/>
          <w:color w:val="1F497D" w:themeColor="text2"/>
          <w:sz w:val="26"/>
          <w:szCs w:val="26"/>
        </w:rPr>
        <w:t>anche rispetto al periodo pre-pandemico</w:t>
      </w:r>
    </w:p>
    <w:p w14:paraId="71503581" w14:textId="5CECD3BB" w:rsidR="00E42BAB" w:rsidRDefault="007E289B" w:rsidP="00BF34B6">
      <w:pPr>
        <w:pStyle w:val="RAtesto"/>
        <w:spacing w:line="240" w:lineRule="auto"/>
        <w:rPr>
          <w:rFonts w:ascii="Arial" w:hAnsi="Arial"/>
          <w:sz w:val="22"/>
          <w:szCs w:val="22"/>
        </w:rPr>
      </w:pPr>
      <w:r>
        <w:rPr>
          <w:rFonts w:ascii="Arial" w:hAnsi="Arial"/>
          <w:sz w:val="22"/>
          <w:szCs w:val="22"/>
        </w:rPr>
        <w:t>Nel 202</w:t>
      </w:r>
      <w:r w:rsidR="00FC0043">
        <w:rPr>
          <w:rFonts w:ascii="Arial" w:hAnsi="Arial"/>
          <w:sz w:val="22"/>
          <w:szCs w:val="22"/>
        </w:rPr>
        <w:t>2</w:t>
      </w:r>
      <w:r>
        <w:rPr>
          <w:rFonts w:ascii="Arial" w:hAnsi="Arial"/>
          <w:sz w:val="22"/>
          <w:szCs w:val="22"/>
        </w:rPr>
        <w:t xml:space="preserve"> i matrimoni sono stati </w:t>
      </w:r>
      <w:r w:rsidRPr="007E289B">
        <w:rPr>
          <w:rFonts w:ascii="Arial" w:hAnsi="Arial"/>
          <w:sz w:val="22"/>
          <w:szCs w:val="22"/>
        </w:rPr>
        <w:t>18</w:t>
      </w:r>
      <w:r w:rsidR="00FC0043">
        <w:rPr>
          <w:rFonts w:ascii="Arial" w:hAnsi="Arial"/>
          <w:sz w:val="22"/>
          <w:szCs w:val="22"/>
        </w:rPr>
        <w:t>9</w:t>
      </w:r>
      <w:r w:rsidRPr="007E289B">
        <w:rPr>
          <w:rFonts w:ascii="Arial" w:hAnsi="Arial"/>
          <w:sz w:val="22"/>
          <w:szCs w:val="22"/>
        </w:rPr>
        <w:t>.</w:t>
      </w:r>
      <w:r w:rsidR="00FC0043">
        <w:rPr>
          <w:rFonts w:ascii="Arial" w:hAnsi="Arial"/>
          <w:sz w:val="22"/>
          <w:szCs w:val="22"/>
        </w:rPr>
        <w:t>140</w:t>
      </w:r>
      <w:r>
        <w:rPr>
          <w:rFonts w:ascii="Arial" w:hAnsi="Arial"/>
          <w:sz w:val="22"/>
          <w:szCs w:val="22"/>
        </w:rPr>
        <w:t xml:space="preserve">, </w:t>
      </w:r>
      <w:r w:rsidR="00FC0043">
        <w:rPr>
          <w:rFonts w:ascii="Arial" w:hAnsi="Arial"/>
          <w:sz w:val="22"/>
          <w:szCs w:val="22"/>
        </w:rPr>
        <w:t xml:space="preserve">in ripresa rispetto non solo all’anno precedente (+4,8%) ma anche </w:t>
      </w:r>
      <w:r w:rsidR="00E42BAB">
        <w:rPr>
          <w:rFonts w:ascii="Arial" w:hAnsi="Arial"/>
          <w:sz w:val="22"/>
          <w:szCs w:val="22"/>
        </w:rPr>
        <w:t>al 2019 (+2,7%)</w:t>
      </w:r>
      <w:r w:rsidR="000B51F7">
        <w:rPr>
          <w:rFonts w:ascii="Arial" w:hAnsi="Arial"/>
          <w:sz w:val="22"/>
          <w:szCs w:val="22"/>
        </w:rPr>
        <w:t xml:space="preserve">. </w:t>
      </w:r>
      <w:r w:rsidR="00660758">
        <w:rPr>
          <w:rFonts w:ascii="Arial" w:hAnsi="Arial"/>
          <w:sz w:val="22"/>
          <w:szCs w:val="22"/>
        </w:rPr>
        <w:t>I</w:t>
      </w:r>
      <w:r w:rsidR="00E42BAB">
        <w:rPr>
          <w:rFonts w:ascii="Arial" w:hAnsi="Arial"/>
          <w:sz w:val="22"/>
          <w:szCs w:val="22"/>
        </w:rPr>
        <w:t xml:space="preserve"> dati provvisori dei primi </w:t>
      </w:r>
      <w:r w:rsidR="00660758">
        <w:rPr>
          <w:rFonts w:ascii="Arial" w:hAnsi="Arial"/>
          <w:sz w:val="22"/>
          <w:szCs w:val="22"/>
        </w:rPr>
        <w:t>otto</w:t>
      </w:r>
      <w:r w:rsidR="00E42BAB">
        <w:rPr>
          <w:rFonts w:ascii="Arial" w:hAnsi="Arial"/>
          <w:sz w:val="22"/>
          <w:szCs w:val="22"/>
        </w:rPr>
        <w:t xml:space="preserve"> mesi del 2023 mettono in luce </w:t>
      </w:r>
      <w:r w:rsidR="00660758">
        <w:rPr>
          <w:rFonts w:ascii="Arial" w:hAnsi="Arial"/>
          <w:sz w:val="22"/>
          <w:szCs w:val="22"/>
        </w:rPr>
        <w:t xml:space="preserve">però </w:t>
      </w:r>
      <w:r w:rsidR="00E42BAB">
        <w:rPr>
          <w:rFonts w:ascii="Arial" w:hAnsi="Arial"/>
          <w:sz w:val="22"/>
          <w:szCs w:val="22"/>
        </w:rPr>
        <w:t>una nuova diminuzione</w:t>
      </w:r>
      <w:r w:rsidR="00745605">
        <w:rPr>
          <w:rFonts w:ascii="Arial" w:hAnsi="Arial"/>
          <w:sz w:val="22"/>
          <w:szCs w:val="22"/>
        </w:rPr>
        <w:t>,</w:t>
      </w:r>
      <w:r w:rsidR="00E42BAB">
        <w:rPr>
          <w:rFonts w:ascii="Arial" w:hAnsi="Arial"/>
          <w:sz w:val="22"/>
          <w:szCs w:val="22"/>
        </w:rPr>
        <w:t xml:space="preserve"> confermando l’andamento altalenante</w:t>
      </w:r>
      <w:r w:rsidR="003F21CE">
        <w:rPr>
          <w:rFonts w:ascii="Arial" w:hAnsi="Arial"/>
          <w:sz w:val="22"/>
          <w:szCs w:val="22"/>
        </w:rPr>
        <w:t>, molto legato a fenomeni di tipo congiunturale,</w:t>
      </w:r>
      <w:r w:rsidR="00E42BAB">
        <w:rPr>
          <w:rFonts w:ascii="Arial" w:hAnsi="Arial"/>
          <w:sz w:val="22"/>
          <w:szCs w:val="22"/>
        </w:rPr>
        <w:t xml:space="preserve"> che negli ultimi decenni sta contraddistinguendo i</w:t>
      </w:r>
      <w:r w:rsidR="003F21CE">
        <w:rPr>
          <w:rFonts w:ascii="Arial" w:hAnsi="Arial"/>
          <w:sz w:val="22"/>
          <w:szCs w:val="22"/>
        </w:rPr>
        <w:t>l numero di</w:t>
      </w:r>
      <w:r w:rsidR="00E42BAB">
        <w:rPr>
          <w:rFonts w:ascii="Arial" w:hAnsi="Arial"/>
          <w:sz w:val="22"/>
          <w:szCs w:val="22"/>
        </w:rPr>
        <w:t xml:space="preserve"> matrimoni. </w:t>
      </w:r>
    </w:p>
    <w:p w14:paraId="3F9A3876" w14:textId="12E9037B" w:rsidR="00E42BAB" w:rsidRDefault="003F21CE" w:rsidP="00BF34B6">
      <w:pPr>
        <w:pStyle w:val="RAtesto"/>
        <w:spacing w:line="240" w:lineRule="auto"/>
        <w:rPr>
          <w:rFonts w:ascii="Arial" w:hAnsi="Arial"/>
          <w:sz w:val="22"/>
          <w:szCs w:val="22"/>
        </w:rPr>
      </w:pPr>
      <w:r>
        <w:rPr>
          <w:rFonts w:ascii="Arial" w:hAnsi="Arial"/>
          <w:sz w:val="22"/>
          <w:szCs w:val="22"/>
        </w:rPr>
        <w:t>N</w:t>
      </w:r>
      <w:r w:rsidR="00E42BAB" w:rsidRPr="00894BBE">
        <w:rPr>
          <w:rFonts w:ascii="Arial" w:hAnsi="Arial"/>
          <w:sz w:val="22"/>
          <w:szCs w:val="22"/>
        </w:rPr>
        <w:t>el 2000</w:t>
      </w:r>
      <w:r>
        <w:rPr>
          <w:rFonts w:ascii="Arial" w:hAnsi="Arial"/>
          <w:sz w:val="22"/>
          <w:szCs w:val="22"/>
        </w:rPr>
        <w:t>, ad esempio,</w:t>
      </w:r>
      <w:r w:rsidR="00E42BAB">
        <w:rPr>
          <w:rFonts w:ascii="Arial" w:hAnsi="Arial"/>
          <w:sz w:val="22"/>
          <w:szCs w:val="22"/>
        </w:rPr>
        <w:t xml:space="preserve"> </w:t>
      </w:r>
      <w:r w:rsidR="00BE5E4D">
        <w:rPr>
          <w:rFonts w:ascii="Arial" w:hAnsi="Arial"/>
          <w:sz w:val="22"/>
          <w:szCs w:val="22"/>
        </w:rPr>
        <w:t>si rilevò</w:t>
      </w:r>
      <w:r w:rsidR="00E42BAB" w:rsidRPr="00894BBE">
        <w:rPr>
          <w:rFonts w:ascii="Arial" w:hAnsi="Arial"/>
          <w:sz w:val="22"/>
          <w:szCs w:val="22"/>
        </w:rPr>
        <w:t xml:space="preserve"> un aumento dei matrimoni</w:t>
      </w:r>
      <w:r w:rsidR="00E42BAB">
        <w:rPr>
          <w:rFonts w:ascii="Arial" w:hAnsi="Arial"/>
          <w:sz w:val="22"/>
          <w:szCs w:val="22"/>
        </w:rPr>
        <w:t xml:space="preserve"> da collegare al desiderio di </w:t>
      </w:r>
      <w:r w:rsidR="00E42BAB" w:rsidRPr="00894BBE">
        <w:rPr>
          <w:rFonts w:ascii="Arial" w:hAnsi="Arial"/>
          <w:sz w:val="22"/>
          <w:szCs w:val="22"/>
        </w:rPr>
        <w:t>celebrare le nozze all’inizio del nuovo millennio. All’opposto, nel triennio 2009-2011</w:t>
      </w:r>
      <w:r w:rsidR="00E42BAB">
        <w:rPr>
          <w:rFonts w:ascii="Arial" w:hAnsi="Arial"/>
          <w:sz w:val="22"/>
          <w:szCs w:val="22"/>
        </w:rPr>
        <w:t>,</w:t>
      </w:r>
      <w:r w:rsidR="00E42BAB" w:rsidRPr="00894BBE">
        <w:rPr>
          <w:rFonts w:ascii="Arial" w:hAnsi="Arial"/>
          <w:sz w:val="22"/>
          <w:szCs w:val="22"/>
        </w:rPr>
        <w:t xml:space="preserve"> </w:t>
      </w:r>
      <w:r w:rsidR="00E42BAB">
        <w:rPr>
          <w:rFonts w:ascii="Arial" w:hAnsi="Arial"/>
          <w:sz w:val="22"/>
          <w:szCs w:val="22"/>
        </w:rPr>
        <w:t>il calo</w:t>
      </w:r>
      <w:r w:rsidR="00E42BAB" w:rsidRPr="00894BBE">
        <w:rPr>
          <w:rFonts w:ascii="Arial" w:hAnsi="Arial"/>
          <w:sz w:val="22"/>
          <w:szCs w:val="22"/>
        </w:rPr>
        <w:t xml:space="preserve"> </w:t>
      </w:r>
      <w:r w:rsidR="00BE5E4D">
        <w:rPr>
          <w:rFonts w:ascii="Arial" w:hAnsi="Arial"/>
          <w:sz w:val="22"/>
          <w:szCs w:val="22"/>
        </w:rPr>
        <w:t>fu</w:t>
      </w:r>
      <w:r w:rsidR="00E42BAB" w:rsidRPr="00894BBE">
        <w:rPr>
          <w:rFonts w:ascii="Arial" w:hAnsi="Arial"/>
          <w:sz w:val="22"/>
          <w:szCs w:val="22"/>
        </w:rPr>
        <w:t xml:space="preserve"> particolarmente accentuat</w:t>
      </w:r>
      <w:r w:rsidR="00E42BAB">
        <w:rPr>
          <w:rFonts w:ascii="Arial" w:hAnsi="Arial"/>
          <w:sz w:val="22"/>
          <w:szCs w:val="22"/>
        </w:rPr>
        <w:t>o</w:t>
      </w:r>
      <w:r w:rsidR="00E42BAB" w:rsidRPr="00894BBE">
        <w:rPr>
          <w:rFonts w:ascii="Arial" w:hAnsi="Arial"/>
          <w:sz w:val="22"/>
          <w:szCs w:val="22"/>
        </w:rPr>
        <w:t xml:space="preserve"> </w:t>
      </w:r>
      <w:r w:rsidR="00BE5E4D">
        <w:rPr>
          <w:rFonts w:ascii="Arial" w:hAnsi="Arial"/>
          <w:sz w:val="22"/>
          <w:szCs w:val="22"/>
        </w:rPr>
        <w:t xml:space="preserve">per il </w:t>
      </w:r>
      <w:r w:rsidR="00E42BAB" w:rsidRPr="00894BBE">
        <w:rPr>
          <w:rFonts w:ascii="Arial" w:hAnsi="Arial"/>
          <w:sz w:val="22"/>
          <w:szCs w:val="22"/>
        </w:rPr>
        <w:t>crollo delle nozze dei cittadini stranieri, scoraggiati dalle modifiche legislative volte a limitare i matrimoni di comodo</w:t>
      </w:r>
      <w:r w:rsidR="00BA5274">
        <w:rPr>
          <w:rFonts w:ascii="Arial" w:hAnsi="Arial"/>
          <w:sz w:val="22"/>
          <w:szCs w:val="22"/>
        </w:rPr>
        <w:t>. Inoltre,</w:t>
      </w:r>
      <w:r w:rsidR="00BA5274" w:rsidRPr="00BA5274">
        <w:rPr>
          <w:rFonts w:ascii="Arial" w:hAnsi="Arial"/>
          <w:sz w:val="22"/>
          <w:szCs w:val="22"/>
        </w:rPr>
        <w:t xml:space="preserve"> non va dimenticata la crisi economica del 2008 il cui impatto produsse effetti sulle intenzioni nuziali </w:t>
      </w:r>
      <w:r w:rsidR="00BA5274">
        <w:rPr>
          <w:rFonts w:ascii="Arial" w:hAnsi="Arial"/>
          <w:sz w:val="22"/>
          <w:szCs w:val="22"/>
        </w:rPr>
        <w:t xml:space="preserve">delle coppie. </w:t>
      </w:r>
      <w:r w:rsidR="00964AE6">
        <w:rPr>
          <w:rFonts w:ascii="Arial" w:hAnsi="Arial"/>
          <w:sz w:val="22"/>
          <w:szCs w:val="22"/>
        </w:rPr>
        <w:t>Infine, nel 2020 si è assistito a un dimezzamento del numero dei matrimoni per effetto del dispiegarsi degli effetti della pandemia da Covid-19 e delle misure di contenimento della stessa.</w:t>
      </w:r>
      <w:r w:rsidR="00E42BAB">
        <w:rPr>
          <w:rFonts w:ascii="Arial" w:hAnsi="Arial"/>
          <w:sz w:val="22"/>
          <w:szCs w:val="22"/>
        </w:rPr>
        <w:t xml:space="preserve"> </w:t>
      </w:r>
    </w:p>
    <w:p w14:paraId="370BAEA7" w14:textId="4F28F7D6" w:rsidR="007E2595" w:rsidRDefault="00E42BAB" w:rsidP="00860BC1">
      <w:pPr>
        <w:pStyle w:val="RAtesto"/>
        <w:spacing w:line="240" w:lineRule="auto"/>
        <w:rPr>
          <w:rFonts w:ascii="Arial" w:hAnsi="Arial"/>
          <w:sz w:val="22"/>
          <w:szCs w:val="22"/>
        </w:rPr>
      </w:pPr>
      <w:r>
        <w:rPr>
          <w:rFonts w:ascii="Arial" w:hAnsi="Arial"/>
          <w:sz w:val="22"/>
          <w:szCs w:val="22"/>
        </w:rPr>
        <w:t>A livello tendenziale, invece, un ridimensionamento della nuzialità</w:t>
      </w:r>
      <w:r w:rsidR="007E289B" w:rsidRPr="007E289B">
        <w:rPr>
          <w:rFonts w:ascii="Arial" w:hAnsi="Arial"/>
          <w:sz w:val="22"/>
          <w:szCs w:val="22"/>
        </w:rPr>
        <w:t xml:space="preserve"> si osserva</w:t>
      </w:r>
      <w:r w:rsidR="007E289B">
        <w:rPr>
          <w:rFonts w:ascii="Arial" w:hAnsi="Arial"/>
          <w:sz w:val="22"/>
          <w:szCs w:val="22"/>
        </w:rPr>
        <w:t xml:space="preserve"> </w:t>
      </w:r>
      <w:r w:rsidR="00F15780">
        <w:rPr>
          <w:rFonts w:ascii="Arial" w:hAnsi="Arial"/>
          <w:sz w:val="22"/>
          <w:szCs w:val="22"/>
        </w:rPr>
        <w:t xml:space="preserve">in Italia </w:t>
      </w:r>
      <w:r w:rsidR="007E289B" w:rsidRPr="007E289B">
        <w:rPr>
          <w:rFonts w:ascii="Arial" w:hAnsi="Arial"/>
          <w:sz w:val="22"/>
          <w:szCs w:val="22"/>
        </w:rPr>
        <w:t>da oltre quarant’anni.</w:t>
      </w:r>
      <w:r>
        <w:rPr>
          <w:rFonts w:ascii="Arial" w:hAnsi="Arial"/>
          <w:sz w:val="22"/>
          <w:szCs w:val="22"/>
        </w:rPr>
        <w:t xml:space="preserve"> </w:t>
      </w:r>
      <w:r w:rsidR="00F15780">
        <w:rPr>
          <w:rFonts w:ascii="Arial" w:hAnsi="Arial"/>
          <w:sz w:val="22"/>
          <w:szCs w:val="22"/>
        </w:rPr>
        <w:t>L</w:t>
      </w:r>
      <w:r w:rsidR="007E2595" w:rsidRPr="00101767">
        <w:rPr>
          <w:rFonts w:ascii="Arial" w:hAnsi="Arial"/>
          <w:sz w:val="22"/>
          <w:szCs w:val="22"/>
        </w:rPr>
        <w:t>a transizione alla vita adulta segue percorsi molto diversi rispetto al passato</w:t>
      </w:r>
      <w:r w:rsidR="007F1854">
        <w:rPr>
          <w:rFonts w:ascii="Arial" w:hAnsi="Arial"/>
          <w:sz w:val="22"/>
          <w:szCs w:val="22"/>
        </w:rPr>
        <w:t>,</w:t>
      </w:r>
      <w:r w:rsidR="007E2595" w:rsidRPr="00101767">
        <w:rPr>
          <w:rFonts w:ascii="Arial" w:hAnsi="Arial"/>
          <w:sz w:val="22"/>
          <w:szCs w:val="22"/>
        </w:rPr>
        <w:t xml:space="preserve"> quando il motivo prevalente di uscita dal nucleo di origine era legato alla necessità di formare una nuova famiglia attraverso le nozze</w:t>
      </w:r>
      <w:r w:rsidR="007E2595" w:rsidRPr="00101767">
        <w:rPr>
          <w:rStyle w:val="Rimandonotadichiusura"/>
          <w:rFonts w:ascii="Arial" w:hAnsi="Arial"/>
          <w:sz w:val="22"/>
          <w:szCs w:val="22"/>
        </w:rPr>
        <w:endnoteReference w:id="1"/>
      </w:r>
      <w:r w:rsidR="007E2595" w:rsidRPr="00101767">
        <w:rPr>
          <w:rFonts w:ascii="Arial" w:hAnsi="Arial"/>
          <w:sz w:val="22"/>
          <w:szCs w:val="22"/>
        </w:rPr>
        <w:t xml:space="preserve">. </w:t>
      </w:r>
      <w:r w:rsidR="007E2595" w:rsidRPr="0041469D">
        <w:rPr>
          <w:rFonts w:ascii="Arial" w:hAnsi="Arial"/>
          <w:sz w:val="22"/>
          <w:szCs w:val="22"/>
        </w:rPr>
        <w:t xml:space="preserve">Secondo i dati dell’Indagine Famiglie e soggetti sociali (2016) per le </w:t>
      </w:r>
      <w:r w:rsidR="00BB1F10">
        <w:rPr>
          <w:rFonts w:ascii="Arial" w:hAnsi="Arial"/>
          <w:sz w:val="22"/>
          <w:szCs w:val="22"/>
        </w:rPr>
        <w:t xml:space="preserve">giovani </w:t>
      </w:r>
      <w:r w:rsidR="007E2595" w:rsidRPr="0041469D">
        <w:rPr>
          <w:rFonts w:ascii="Arial" w:hAnsi="Arial"/>
          <w:sz w:val="22"/>
          <w:szCs w:val="22"/>
        </w:rPr>
        <w:t xml:space="preserve">generazioni </w:t>
      </w:r>
      <w:r w:rsidR="00860BC1">
        <w:rPr>
          <w:rFonts w:ascii="Arial" w:hAnsi="Arial"/>
          <w:sz w:val="22"/>
          <w:szCs w:val="22"/>
        </w:rPr>
        <w:t xml:space="preserve">di uomini (nati tra il 1982 e il </w:t>
      </w:r>
      <w:r w:rsidR="007E2595" w:rsidRPr="0041469D">
        <w:rPr>
          <w:rFonts w:ascii="Arial" w:hAnsi="Arial"/>
          <w:sz w:val="22"/>
          <w:szCs w:val="22"/>
        </w:rPr>
        <w:t xml:space="preserve">1986) la convivenza </w:t>
      </w:r>
      <w:r w:rsidR="00831C4E" w:rsidRPr="00BF34B6">
        <w:rPr>
          <w:rFonts w:ascii="Arial" w:hAnsi="Arial"/>
          <w:i/>
          <w:iCs/>
          <w:sz w:val="22"/>
          <w:szCs w:val="22"/>
        </w:rPr>
        <w:t>more uxorio</w:t>
      </w:r>
      <w:r w:rsidR="00831C4E">
        <w:rPr>
          <w:rFonts w:ascii="Arial" w:hAnsi="Arial"/>
          <w:sz w:val="22"/>
          <w:szCs w:val="22"/>
        </w:rPr>
        <w:t xml:space="preserve"> </w:t>
      </w:r>
      <w:r w:rsidR="00BB1F10">
        <w:rPr>
          <w:rFonts w:ascii="Arial" w:hAnsi="Arial"/>
          <w:sz w:val="22"/>
          <w:szCs w:val="22"/>
        </w:rPr>
        <w:t>è preferita a</w:t>
      </w:r>
      <w:r w:rsidR="007E2595" w:rsidRPr="0041469D">
        <w:rPr>
          <w:rFonts w:ascii="Arial" w:hAnsi="Arial"/>
          <w:sz w:val="22"/>
          <w:szCs w:val="22"/>
        </w:rPr>
        <w:t>l matrimonio (22,5% contro 21,8%</w:t>
      </w:r>
      <w:r w:rsidR="00F15780" w:rsidRPr="0041469D">
        <w:rPr>
          <w:rFonts w:ascii="Arial" w:hAnsi="Arial"/>
          <w:sz w:val="22"/>
          <w:szCs w:val="22"/>
        </w:rPr>
        <w:t xml:space="preserve"> </w:t>
      </w:r>
      <w:r w:rsidR="00BF34B6" w:rsidRPr="0041469D">
        <w:rPr>
          <w:rFonts w:ascii="Arial" w:hAnsi="Arial"/>
          <w:sz w:val="22"/>
          <w:szCs w:val="22"/>
        </w:rPr>
        <w:t>di coloro che lasciano la casa dei genitori entro il trentesimo compleanno</w:t>
      </w:r>
      <w:r w:rsidR="007E2595" w:rsidRPr="0041469D">
        <w:rPr>
          <w:rFonts w:ascii="Arial" w:hAnsi="Arial"/>
          <w:sz w:val="22"/>
          <w:szCs w:val="22"/>
        </w:rPr>
        <w:t>)</w:t>
      </w:r>
      <w:r w:rsidR="00860BC1">
        <w:rPr>
          <w:rFonts w:ascii="Arial" w:hAnsi="Arial"/>
          <w:sz w:val="22"/>
          <w:szCs w:val="22"/>
        </w:rPr>
        <w:t>; seguono le altre motivazioni quali, per esempio, lavoro, studio e autonomia</w:t>
      </w:r>
      <w:r w:rsidR="007E2595" w:rsidRPr="0041469D">
        <w:rPr>
          <w:rFonts w:ascii="Arial" w:hAnsi="Arial"/>
          <w:sz w:val="22"/>
          <w:szCs w:val="22"/>
        </w:rPr>
        <w:t>.</w:t>
      </w:r>
      <w:r w:rsidR="007E2595" w:rsidRPr="00101767">
        <w:rPr>
          <w:rFonts w:ascii="Arial" w:hAnsi="Arial"/>
          <w:sz w:val="22"/>
          <w:szCs w:val="22"/>
        </w:rPr>
        <w:t xml:space="preserve"> Per le donne, </w:t>
      </w:r>
      <w:r w:rsidR="00F15780">
        <w:rPr>
          <w:rFonts w:ascii="Arial" w:hAnsi="Arial"/>
          <w:sz w:val="22"/>
          <w:szCs w:val="22"/>
        </w:rPr>
        <w:t>l’</w:t>
      </w:r>
      <w:r w:rsidR="007E2595" w:rsidRPr="00101767">
        <w:rPr>
          <w:rFonts w:ascii="Arial" w:hAnsi="Arial"/>
          <w:sz w:val="22"/>
          <w:szCs w:val="22"/>
        </w:rPr>
        <w:t xml:space="preserve">uscita dalla famiglia di origine si contraddistingue ancora </w:t>
      </w:r>
      <w:r w:rsidR="00F15780">
        <w:rPr>
          <w:rFonts w:ascii="Arial" w:hAnsi="Arial"/>
          <w:sz w:val="22"/>
          <w:szCs w:val="22"/>
        </w:rPr>
        <w:t xml:space="preserve">per la scelta </w:t>
      </w:r>
      <w:r w:rsidR="007E2595" w:rsidRPr="00101767">
        <w:rPr>
          <w:rFonts w:ascii="Arial" w:hAnsi="Arial"/>
          <w:sz w:val="22"/>
          <w:szCs w:val="22"/>
        </w:rPr>
        <w:t xml:space="preserve">preponderante </w:t>
      </w:r>
      <w:r w:rsidR="00F15780">
        <w:rPr>
          <w:rFonts w:ascii="Arial" w:hAnsi="Arial"/>
          <w:sz w:val="22"/>
          <w:szCs w:val="22"/>
        </w:rPr>
        <w:t>del</w:t>
      </w:r>
      <w:r w:rsidR="007E2595" w:rsidRPr="00101767">
        <w:rPr>
          <w:rFonts w:ascii="Arial" w:hAnsi="Arial"/>
          <w:sz w:val="22"/>
          <w:szCs w:val="22"/>
        </w:rPr>
        <w:t xml:space="preserve"> matrimonio</w:t>
      </w:r>
      <w:r w:rsidR="00F15780">
        <w:rPr>
          <w:rFonts w:ascii="Arial" w:hAnsi="Arial"/>
          <w:sz w:val="22"/>
          <w:szCs w:val="22"/>
        </w:rPr>
        <w:t xml:space="preserve"> (</w:t>
      </w:r>
      <w:r w:rsidR="007E2595" w:rsidRPr="00101767">
        <w:rPr>
          <w:rFonts w:ascii="Arial" w:hAnsi="Arial"/>
          <w:sz w:val="22"/>
          <w:szCs w:val="22"/>
        </w:rPr>
        <w:t>40% tra le nate negli anni Ottanta</w:t>
      </w:r>
      <w:r w:rsidR="00F15780">
        <w:rPr>
          <w:rFonts w:ascii="Arial" w:hAnsi="Arial"/>
          <w:sz w:val="22"/>
          <w:szCs w:val="22"/>
        </w:rPr>
        <w:t>), seguita da quella del</w:t>
      </w:r>
      <w:r w:rsidR="007E2595" w:rsidRPr="00101767">
        <w:rPr>
          <w:rFonts w:ascii="Arial" w:hAnsi="Arial"/>
          <w:sz w:val="22"/>
          <w:szCs w:val="22"/>
        </w:rPr>
        <w:t>la convivenza, con percentuali via via crescenti di generazione in generazione.</w:t>
      </w:r>
      <w:r w:rsidR="007E2595" w:rsidRPr="007E2595">
        <w:rPr>
          <w:rFonts w:ascii="Arial" w:hAnsi="Arial"/>
          <w:sz w:val="22"/>
          <w:szCs w:val="22"/>
        </w:rPr>
        <w:t xml:space="preserve"> </w:t>
      </w:r>
    </w:p>
    <w:p w14:paraId="3E41F558" w14:textId="71B89AAA" w:rsidR="00BB0206" w:rsidRPr="007E2595" w:rsidRDefault="00BB0206" w:rsidP="00BF34B6">
      <w:pPr>
        <w:spacing w:after="120"/>
        <w:jc w:val="both"/>
        <w:rPr>
          <w:rFonts w:ascii="Arial" w:hAnsi="Arial" w:cs="Arial"/>
          <w:sz w:val="22"/>
          <w:szCs w:val="22"/>
        </w:rPr>
      </w:pPr>
      <w:r>
        <w:rPr>
          <w:rFonts w:ascii="Arial" w:hAnsi="Arial" w:cs="Arial"/>
          <w:sz w:val="22"/>
          <w:szCs w:val="22"/>
        </w:rPr>
        <w:t xml:space="preserve">A livello territoriale il lieve aumento dei matrimoni del 2022 è la sintesi di due situazioni contrapposte: nel Centro e nel Nord la variazione positiva è stata ben più consistente (rispettivamente 14,2% e 10,5%) mentre nel Mezzogiorno la variazione </w:t>
      </w:r>
      <w:r w:rsidR="00831C4E">
        <w:rPr>
          <w:rFonts w:ascii="Arial" w:hAnsi="Arial" w:cs="Arial"/>
          <w:sz w:val="22"/>
          <w:szCs w:val="22"/>
        </w:rPr>
        <w:t>è</w:t>
      </w:r>
      <w:r>
        <w:rPr>
          <w:rFonts w:ascii="Arial" w:hAnsi="Arial" w:cs="Arial"/>
          <w:sz w:val="22"/>
          <w:szCs w:val="22"/>
        </w:rPr>
        <w:t xml:space="preserve"> negativa rispetto sia al 2021 (-4,5%) sia al 2019 (-2,3%).</w:t>
      </w:r>
    </w:p>
    <w:p w14:paraId="528A8E8C" w14:textId="5212685D" w:rsidR="004E4DAE" w:rsidRPr="00E42BAB" w:rsidRDefault="00B724C4" w:rsidP="00BF34B6">
      <w:pPr>
        <w:pStyle w:val="RAtesto"/>
        <w:spacing w:line="240" w:lineRule="auto"/>
        <w:rPr>
          <w:rFonts w:ascii="Arial" w:hAnsi="Arial"/>
          <w:sz w:val="22"/>
          <w:szCs w:val="22"/>
        </w:rPr>
      </w:pPr>
      <w:r>
        <w:rPr>
          <w:rFonts w:ascii="Arial" w:hAnsi="Arial"/>
          <w:sz w:val="22"/>
          <w:szCs w:val="22"/>
        </w:rPr>
        <w:t>Nel 2022 i</w:t>
      </w:r>
      <w:r w:rsidRPr="00CD0A01">
        <w:rPr>
          <w:rFonts w:ascii="Arial" w:hAnsi="Arial"/>
          <w:sz w:val="22"/>
          <w:szCs w:val="22"/>
        </w:rPr>
        <w:t xml:space="preserve"> primi matrimoni (146.222 nel 2022, 77,3% dei matrimoni totali), </w:t>
      </w:r>
      <w:r w:rsidR="00831C4E">
        <w:rPr>
          <w:rFonts w:ascii="Arial" w:hAnsi="Arial"/>
          <w:sz w:val="22"/>
          <w:szCs w:val="22"/>
        </w:rPr>
        <w:t xml:space="preserve">dopo aver subito un dimezzamento </w:t>
      </w:r>
      <w:r w:rsidRPr="00CD0A01">
        <w:rPr>
          <w:rFonts w:ascii="Arial" w:hAnsi="Arial"/>
          <w:sz w:val="22"/>
          <w:szCs w:val="22"/>
        </w:rPr>
        <w:t xml:space="preserve">nel 2020, tornano ai livelli del 2019. </w:t>
      </w:r>
      <w:r w:rsidR="004E4DAE" w:rsidRPr="00E42BAB">
        <w:rPr>
          <w:rFonts w:ascii="Arial" w:hAnsi="Arial"/>
          <w:sz w:val="22"/>
          <w:szCs w:val="22"/>
        </w:rPr>
        <w:t>La diminuzione</w:t>
      </w:r>
      <w:r>
        <w:rPr>
          <w:rFonts w:ascii="Arial" w:hAnsi="Arial"/>
          <w:sz w:val="22"/>
          <w:szCs w:val="22"/>
        </w:rPr>
        <w:t xml:space="preserve"> tendenziale</w:t>
      </w:r>
      <w:r w:rsidR="004E4DAE" w:rsidRPr="00E42BAB">
        <w:rPr>
          <w:rFonts w:ascii="Arial" w:hAnsi="Arial"/>
          <w:sz w:val="22"/>
          <w:szCs w:val="22"/>
        </w:rPr>
        <w:t xml:space="preserve"> dei primi matrimoni</w:t>
      </w:r>
      <w:r>
        <w:rPr>
          <w:rFonts w:ascii="Arial" w:hAnsi="Arial"/>
          <w:sz w:val="22"/>
          <w:szCs w:val="22"/>
        </w:rPr>
        <w:t>, al netto delle oscillazioni di breve periodo,</w:t>
      </w:r>
      <w:r w:rsidR="004E4DAE" w:rsidRPr="00E42BAB">
        <w:rPr>
          <w:rFonts w:ascii="Arial" w:hAnsi="Arial"/>
          <w:sz w:val="22"/>
          <w:szCs w:val="22"/>
        </w:rPr>
        <w:t xml:space="preserve"> è </w:t>
      </w:r>
      <w:r>
        <w:rPr>
          <w:rFonts w:ascii="Arial" w:hAnsi="Arial"/>
          <w:sz w:val="22"/>
          <w:szCs w:val="22"/>
        </w:rPr>
        <w:t>strettamente connessa</w:t>
      </w:r>
      <w:r w:rsidR="004E4DAE" w:rsidRPr="00E42BAB">
        <w:rPr>
          <w:rFonts w:ascii="Arial" w:hAnsi="Arial"/>
          <w:sz w:val="22"/>
          <w:szCs w:val="22"/>
        </w:rPr>
        <w:t xml:space="preserve"> alla progressiva diffusione delle libere unioni</w:t>
      </w:r>
      <w:r w:rsidR="0097443B" w:rsidRPr="00E42BAB">
        <w:rPr>
          <w:rFonts w:ascii="Arial" w:hAnsi="Arial"/>
          <w:sz w:val="22"/>
          <w:szCs w:val="22"/>
        </w:rPr>
        <w:t xml:space="preserve"> </w:t>
      </w:r>
      <w:r w:rsidR="004E4DAE" w:rsidRPr="00E42BAB">
        <w:rPr>
          <w:rFonts w:ascii="Arial" w:hAnsi="Arial"/>
          <w:sz w:val="22"/>
          <w:szCs w:val="22"/>
        </w:rPr>
        <w:t xml:space="preserve">(convivenze </w:t>
      </w:r>
      <w:r w:rsidR="004E4DAE" w:rsidRPr="00E42BAB">
        <w:rPr>
          <w:rFonts w:ascii="Arial" w:hAnsi="Arial"/>
          <w:i/>
          <w:iCs/>
          <w:sz w:val="22"/>
          <w:szCs w:val="22"/>
        </w:rPr>
        <w:t>more uxorio</w:t>
      </w:r>
      <w:r w:rsidR="004E4DAE" w:rsidRPr="00E42BAB">
        <w:rPr>
          <w:rFonts w:ascii="Arial" w:hAnsi="Arial"/>
          <w:sz w:val="22"/>
          <w:szCs w:val="22"/>
        </w:rPr>
        <w:t>)</w:t>
      </w:r>
      <w:r w:rsidR="0053471F" w:rsidRPr="00E42BAB">
        <w:rPr>
          <w:rStyle w:val="Rimandonotadichiusura"/>
          <w:rFonts w:ascii="Arial" w:hAnsi="Arial"/>
          <w:sz w:val="22"/>
          <w:szCs w:val="22"/>
        </w:rPr>
        <w:endnoteReference w:id="2"/>
      </w:r>
      <w:r>
        <w:rPr>
          <w:rFonts w:ascii="Arial" w:hAnsi="Arial"/>
          <w:sz w:val="22"/>
          <w:szCs w:val="22"/>
        </w:rPr>
        <w:t>. Queste ultime sono</w:t>
      </w:r>
      <w:r w:rsidR="004E4DAE" w:rsidRPr="00E42BAB">
        <w:rPr>
          <w:rFonts w:ascii="Arial" w:hAnsi="Arial"/>
          <w:sz w:val="22"/>
          <w:szCs w:val="22"/>
        </w:rPr>
        <w:t xml:space="preserve"> più che triplicate </w:t>
      </w:r>
      <w:r w:rsidR="000F3A42" w:rsidRPr="00E42BAB">
        <w:rPr>
          <w:rFonts w:ascii="Arial" w:hAnsi="Arial"/>
          <w:sz w:val="22"/>
          <w:szCs w:val="22"/>
        </w:rPr>
        <w:t xml:space="preserve">tra il biennio </w:t>
      </w:r>
      <w:r w:rsidR="004E4DAE" w:rsidRPr="00E42BAB">
        <w:rPr>
          <w:rFonts w:ascii="Arial" w:hAnsi="Arial"/>
          <w:sz w:val="22"/>
          <w:szCs w:val="22"/>
        </w:rPr>
        <w:t xml:space="preserve">2000-2001 </w:t>
      </w:r>
      <w:r w:rsidR="000F3A42" w:rsidRPr="00E42BAB">
        <w:rPr>
          <w:rFonts w:ascii="Arial" w:hAnsi="Arial"/>
          <w:sz w:val="22"/>
          <w:szCs w:val="22"/>
        </w:rPr>
        <w:t>e il biennio</w:t>
      </w:r>
      <w:r w:rsidR="00115A6C" w:rsidRPr="00E42BAB">
        <w:rPr>
          <w:rFonts w:ascii="Arial" w:hAnsi="Arial"/>
          <w:sz w:val="22"/>
          <w:szCs w:val="22"/>
        </w:rPr>
        <w:t xml:space="preserve"> </w:t>
      </w:r>
      <w:r w:rsidR="004E4DAE" w:rsidRPr="00E42BAB">
        <w:rPr>
          <w:rFonts w:ascii="Arial" w:hAnsi="Arial"/>
          <w:sz w:val="22"/>
          <w:szCs w:val="22"/>
        </w:rPr>
        <w:t>202</w:t>
      </w:r>
      <w:r w:rsidR="00E66B94" w:rsidRPr="00E42BAB">
        <w:rPr>
          <w:rFonts w:ascii="Arial" w:hAnsi="Arial"/>
          <w:sz w:val="22"/>
          <w:szCs w:val="22"/>
        </w:rPr>
        <w:t>1</w:t>
      </w:r>
      <w:r w:rsidR="004E4DAE" w:rsidRPr="00E42BAB">
        <w:rPr>
          <w:rFonts w:ascii="Arial" w:hAnsi="Arial"/>
          <w:sz w:val="22"/>
          <w:szCs w:val="22"/>
        </w:rPr>
        <w:t>-202</w:t>
      </w:r>
      <w:r w:rsidR="00E66B94" w:rsidRPr="00E42BAB">
        <w:rPr>
          <w:rFonts w:ascii="Arial" w:hAnsi="Arial"/>
          <w:sz w:val="22"/>
          <w:szCs w:val="22"/>
        </w:rPr>
        <w:t>2</w:t>
      </w:r>
      <w:r w:rsidR="00D16DA8" w:rsidRPr="00E42BAB">
        <w:rPr>
          <w:rFonts w:ascii="Arial" w:hAnsi="Arial"/>
          <w:sz w:val="22"/>
          <w:szCs w:val="22"/>
        </w:rPr>
        <w:t xml:space="preserve"> (</w:t>
      </w:r>
      <w:r w:rsidR="004E4DAE" w:rsidRPr="00E42BAB">
        <w:rPr>
          <w:rFonts w:ascii="Arial" w:hAnsi="Arial"/>
          <w:sz w:val="22"/>
          <w:szCs w:val="22"/>
        </w:rPr>
        <w:t xml:space="preserve">da circa 440mila a </w:t>
      </w:r>
      <w:r w:rsidR="00E66B94" w:rsidRPr="00E42BAB">
        <w:rPr>
          <w:rFonts w:ascii="Arial" w:hAnsi="Arial"/>
          <w:sz w:val="22"/>
          <w:szCs w:val="22"/>
        </w:rPr>
        <w:t xml:space="preserve">più di </w:t>
      </w:r>
      <w:r w:rsidR="004E4DAE" w:rsidRPr="00E42BAB">
        <w:rPr>
          <w:rFonts w:ascii="Arial" w:hAnsi="Arial"/>
          <w:sz w:val="22"/>
          <w:szCs w:val="22"/>
        </w:rPr>
        <w:t xml:space="preserve">1 milione e </w:t>
      </w:r>
      <w:r w:rsidR="00E66B94" w:rsidRPr="00E42BAB">
        <w:rPr>
          <w:rFonts w:ascii="Arial" w:hAnsi="Arial"/>
          <w:sz w:val="22"/>
          <w:szCs w:val="22"/>
        </w:rPr>
        <w:t>500</w:t>
      </w:r>
      <w:r w:rsidR="004E4DAE" w:rsidRPr="00E42BAB">
        <w:rPr>
          <w:rFonts w:ascii="Arial" w:hAnsi="Arial"/>
          <w:sz w:val="22"/>
          <w:szCs w:val="22"/>
        </w:rPr>
        <w:t>mila</w:t>
      </w:r>
      <w:r w:rsidR="00D16DA8" w:rsidRPr="00E42BAB">
        <w:rPr>
          <w:rFonts w:ascii="Arial" w:hAnsi="Arial"/>
          <w:sz w:val="22"/>
          <w:szCs w:val="22"/>
        </w:rPr>
        <w:t>)</w:t>
      </w:r>
      <w:r w:rsidR="00831C4E">
        <w:rPr>
          <w:rFonts w:ascii="Arial" w:hAnsi="Arial"/>
          <w:sz w:val="22"/>
          <w:szCs w:val="22"/>
        </w:rPr>
        <w:t xml:space="preserve">, un </w:t>
      </w:r>
      <w:r w:rsidR="004E4DAE" w:rsidRPr="00E42BAB">
        <w:rPr>
          <w:rFonts w:ascii="Arial" w:hAnsi="Arial"/>
          <w:sz w:val="22"/>
          <w:szCs w:val="22"/>
        </w:rPr>
        <w:t xml:space="preserve">incremento </w:t>
      </w:r>
      <w:r w:rsidR="00D16DA8" w:rsidRPr="00E42BAB">
        <w:rPr>
          <w:rFonts w:ascii="Arial" w:hAnsi="Arial"/>
          <w:sz w:val="22"/>
          <w:szCs w:val="22"/>
        </w:rPr>
        <w:t>da attribuire soprattutto alle</w:t>
      </w:r>
      <w:r w:rsidR="004E4DAE" w:rsidRPr="00E42BAB">
        <w:rPr>
          <w:rFonts w:ascii="Arial" w:hAnsi="Arial"/>
          <w:sz w:val="22"/>
          <w:szCs w:val="22"/>
        </w:rPr>
        <w:t xml:space="preserve"> libere unioni di celibi e nubili.</w:t>
      </w:r>
      <w:r w:rsidR="00B64DDE" w:rsidRPr="00E42BAB">
        <w:rPr>
          <w:rFonts w:ascii="Arial" w:hAnsi="Arial"/>
          <w:sz w:val="22"/>
          <w:szCs w:val="22"/>
        </w:rPr>
        <w:t xml:space="preserve"> </w:t>
      </w:r>
    </w:p>
    <w:p w14:paraId="11C82AED" w14:textId="273A9453" w:rsidR="00860BC1" w:rsidRDefault="000730AF" w:rsidP="00D850F6">
      <w:pPr>
        <w:pStyle w:val="RAtesto"/>
        <w:spacing w:after="0" w:line="240" w:lineRule="auto"/>
        <w:rPr>
          <w:rFonts w:ascii="Arial" w:hAnsi="Arial"/>
          <w:sz w:val="22"/>
          <w:szCs w:val="22"/>
        </w:rPr>
      </w:pPr>
      <w:r w:rsidRPr="00E42BAB">
        <w:rPr>
          <w:rFonts w:ascii="Arial" w:hAnsi="Arial"/>
          <w:sz w:val="22"/>
          <w:szCs w:val="22"/>
        </w:rPr>
        <w:t>Negli ultimi decenni</w:t>
      </w:r>
      <w:r w:rsidR="007629BE" w:rsidRPr="00E42BAB">
        <w:rPr>
          <w:rFonts w:ascii="Arial" w:hAnsi="Arial"/>
          <w:sz w:val="22"/>
          <w:szCs w:val="22"/>
        </w:rPr>
        <w:t>,</w:t>
      </w:r>
      <w:r w:rsidRPr="00E42BAB">
        <w:rPr>
          <w:rFonts w:ascii="Arial" w:hAnsi="Arial"/>
          <w:sz w:val="22"/>
          <w:szCs w:val="22"/>
        </w:rPr>
        <w:t xml:space="preserve"> </w:t>
      </w:r>
      <w:r w:rsidR="007629BE" w:rsidRPr="00E42BAB">
        <w:rPr>
          <w:rFonts w:ascii="Arial" w:hAnsi="Arial"/>
          <w:sz w:val="22"/>
          <w:szCs w:val="22"/>
        </w:rPr>
        <w:t>inoltre,</w:t>
      </w:r>
      <w:r w:rsidRPr="00E42BAB">
        <w:rPr>
          <w:rFonts w:ascii="Arial" w:hAnsi="Arial"/>
          <w:sz w:val="22"/>
          <w:szCs w:val="22"/>
        </w:rPr>
        <w:t xml:space="preserve"> il </w:t>
      </w:r>
      <w:r w:rsidR="007629BE" w:rsidRPr="00E42BAB">
        <w:rPr>
          <w:rFonts w:ascii="Arial" w:hAnsi="Arial"/>
          <w:sz w:val="22"/>
          <w:szCs w:val="22"/>
        </w:rPr>
        <w:t xml:space="preserve">netto </w:t>
      </w:r>
      <w:r w:rsidRPr="00E42BAB">
        <w:rPr>
          <w:rFonts w:ascii="Arial" w:hAnsi="Arial"/>
          <w:sz w:val="22"/>
          <w:szCs w:val="22"/>
        </w:rPr>
        <w:t xml:space="preserve">ridimensionamento </w:t>
      </w:r>
      <w:r w:rsidR="000F3A42" w:rsidRPr="00E42BAB">
        <w:rPr>
          <w:rFonts w:ascii="Arial" w:hAnsi="Arial"/>
          <w:sz w:val="22"/>
          <w:szCs w:val="22"/>
        </w:rPr>
        <w:t xml:space="preserve">numerico </w:t>
      </w:r>
      <w:r w:rsidRPr="00E42BAB">
        <w:rPr>
          <w:rFonts w:ascii="Arial" w:hAnsi="Arial"/>
          <w:sz w:val="22"/>
          <w:szCs w:val="22"/>
        </w:rPr>
        <w:t xml:space="preserve">delle nuove generazioni, dovuto alla </w:t>
      </w:r>
      <w:r w:rsidR="00831C4E">
        <w:rPr>
          <w:rFonts w:ascii="Arial" w:hAnsi="Arial"/>
          <w:sz w:val="22"/>
          <w:szCs w:val="22"/>
        </w:rPr>
        <w:t xml:space="preserve">bassa </w:t>
      </w:r>
      <w:r w:rsidRPr="00E42BAB">
        <w:rPr>
          <w:rFonts w:ascii="Arial" w:hAnsi="Arial"/>
          <w:sz w:val="22"/>
          <w:szCs w:val="22"/>
        </w:rPr>
        <w:t>fecondità</w:t>
      </w:r>
      <w:r w:rsidR="00831C4E">
        <w:rPr>
          <w:rFonts w:ascii="Arial" w:hAnsi="Arial"/>
          <w:sz w:val="22"/>
          <w:szCs w:val="22"/>
        </w:rPr>
        <w:t xml:space="preserve">, </w:t>
      </w:r>
      <w:r w:rsidR="003508DC">
        <w:rPr>
          <w:rFonts w:ascii="Arial" w:hAnsi="Arial"/>
          <w:sz w:val="22"/>
          <w:szCs w:val="22"/>
        </w:rPr>
        <w:t xml:space="preserve">che </w:t>
      </w:r>
      <w:r w:rsidRPr="00E42BAB">
        <w:rPr>
          <w:rFonts w:ascii="Arial" w:hAnsi="Arial"/>
          <w:sz w:val="22"/>
          <w:szCs w:val="22"/>
        </w:rPr>
        <w:t>dalla metà degli anni Settanta</w:t>
      </w:r>
      <w:r w:rsidR="00B724C4">
        <w:rPr>
          <w:rFonts w:ascii="Arial" w:hAnsi="Arial"/>
          <w:sz w:val="22"/>
          <w:szCs w:val="22"/>
        </w:rPr>
        <w:t xml:space="preserve"> </w:t>
      </w:r>
      <w:r w:rsidR="003508DC">
        <w:rPr>
          <w:rFonts w:ascii="Arial" w:hAnsi="Arial"/>
          <w:sz w:val="22"/>
          <w:szCs w:val="22"/>
        </w:rPr>
        <w:t>si è sempre mantenuta ben sotto il livello di sostituzione</w:t>
      </w:r>
      <w:r w:rsidRPr="00E42BAB">
        <w:rPr>
          <w:rFonts w:ascii="Arial" w:hAnsi="Arial"/>
          <w:sz w:val="22"/>
          <w:szCs w:val="22"/>
        </w:rPr>
        <w:t>,</w:t>
      </w:r>
      <w:r w:rsidRPr="00E42BAB">
        <w:rPr>
          <w:rFonts w:ascii="Arial" w:hAnsi="Arial"/>
          <w:i/>
          <w:iCs/>
          <w:sz w:val="22"/>
          <w:szCs w:val="22"/>
        </w:rPr>
        <w:t xml:space="preserve"> </w:t>
      </w:r>
      <w:r w:rsidR="00B724C4">
        <w:rPr>
          <w:rFonts w:ascii="Arial" w:hAnsi="Arial"/>
          <w:iCs/>
          <w:sz w:val="22"/>
          <w:szCs w:val="22"/>
        </w:rPr>
        <w:t>sta producendo</w:t>
      </w:r>
      <w:r w:rsidRPr="00E42BAB">
        <w:rPr>
          <w:rFonts w:ascii="Arial" w:hAnsi="Arial"/>
          <w:sz w:val="22"/>
          <w:szCs w:val="22"/>
        </w:rPr>
        <w:t xml:space="preserve"> un effetto strutturale negativo sui matrimoni. Man mano che </w:t>
      </w:r>
      <w:r w:rsidR="00381A1E">
        <w:rPr>
          <w:rFonts w:ascii="Arial" w:hAnsi="Arial"/>
          <w:sz w:val="22"/>
          <w:szCs w:val="22"/>
        </w:rPr>
        <w:t>le</w:t>
      </w:r>
      <w:r w:rsidRPr="00E42BAB">
        <w:rPr>
          <w:rFonts w:ascii="Arial" w:hAnsi="Arial"/>
          <w:sz w:val="22"/>
          <w:szCs w:val="22"/>
        </w:rPr>
        <w:t xml:space="preserve"> generazioni</w:t>
      </w:r>
      <w:r w:rsidR="00381A1E">
        <w:rPr>
          <w:rFonts w:ascii="Arial" w:hAnsi="Arial"/>
          <w:sz w:val="22"/>
          <w:szCs w:val="22"/>
        </w:rPr>
        <w:t xml:space="preserve"> più giovani</w:t>
      </w:r>
      <w:r w:rsidRPr="00E42BAB">
        <w:rPr>
          <w:rFonts w:ascii="Arial" w:hAnsi="Arial"/>
          <w:sz w:val="22"/>
          <w:szCs w:val="22"/>
        </w:rPr>
        <w:t>, meno numerose di</w:t>
      </w:r>
      <w:r w:rsidR="006B123D" w:rsidRPr="00E42BAB">
        <w:rPr>
          <w:rFonts w:ascii="Arial" w:hAnsi="Arial"/>
          <w:sz w:val="22"/>
          <w:szCs w:val="22"/>
        </w:rPr>
        <w:t xml:space="preserve"> quelle dei</w:t>
      </w:r>
      <w:r w:rsidRPr="00E42BAB">
        <w:rPr>
          <w:rFonts w:ascii="Arial" w:hAnsi="Arial"/>
          <w:sz w:val="22"/>
          <w:szCs w:val="22"/>
        </w:rPr>
        <w:t xml:space="preserve"> loro genitori, entrano nella fase della vita adulta si riduce la numerosità della popolazione in età da matrimonio e</w:t>
      </w:r>
      <w:r w:rsidR="007629BE" w:rsidRPr="00E42BAB">
        <w:rPr>
          <w:rFonts w:ascii="Arial" w:hAnsi="Arial"/>
          <w:sz w:val="22"/>
          <w:szCs w:val="22"/>
        </w:rPr>
        <w:t>,</w:t>
      </w:r>
      <w:r w:rsidRPr="00E42BAB">
        <w:rPr>
          <w:rFonts w:ascii="Arial" w:hAnsi="Arial"/>
          <w:sz w:val="22"/>
          <w:szCs w:val="22"/>
        </w:rPr>
        <w:t xml:space="preserve"> di conseguenza, </w:t>
      </w:r>
      <w:r w:rsidR="00AF4927">
        <w:rPr>
          <w:rFonts w:ascii="Arial" w:hAnsi="Arial"/>
          <w:sz w:val="22"/>
          <w:szCs w:val="22"/>
        </w:rPr>
        <w:t xml:space="preserve">anche </w:t>
      </w:r>
      <w:r w:rsidRPr="00E42BAB">
        <w:rPr>
          <w:rFonts w:ascii="Arial" w:hAnsi="Arial"/>
          <w:sz w:val="22"/>
          <w:szCs w:val="22"/>
        </w:rPr>
        <w:t>a parità</w:t>
      </w:r>
      <w:r w:rsidR="00AD658C" w:rsidRPr="00E42BAB">
        <w:rPr>
          <w:rFonts w:ascii="Arial" w:hAnsi="Arial"/>
          <w:sz w:val="22"/>
          <w:szCs w:val="22"/>
        </w:rPr>
        <w:t xml:space="preserve"> di propensione a sposarsi, cala</w:t>
      </w:r>
      <w:r w:rsidRPr="00E42BAB">
        <w:rPr>
          <w:rFonts w:ascii="Arial" w:hAnsi="Arial"/>
          <w:sz w:val="22"/>
          <w:szCs w:val="22"/>
        </w:rPr>
        <w:t xml:space="preserve"> </w:t>
      </w:r>
      <w:r w:rsidR="00AF4927">
        <w:rPr>
          <w:rFonts w:ascii="Arial" w:hAnsi="Arial"/>
          <w:sz w:val="22"/>
          <w:szCs w:val="22"/>
        </w:rPr>
        <w:t xml:space="preserve">inesorabilmente </w:t>
      </w:r>
      <w:r w:rsidRPr="00E42BAB">
        <w:rPr>
          <w:rFonts w:ascii="Arial" w:hAnsi="Arial"/>
          <w:sz w:val="22"/>
          <w:szCs w:val="22"/>
        </w:rPr>
        <w:t>il numero assoluto di nozze.</w:t>
      </w:r>
    </w:p>
    <w:p w14:paraId="3897E75D" w14:textId="4F776AAE" w:rsidR="00D850F6" w:rsidRPr="00D850F6" w:rsidRDefault="00D850F6" w:rsidP="00D850F6">
      <w:pPr>
        <w:pStyle w:val="RAtesto"/>
        <w:spacing w:after="0" w:line="240" w:lineRule="auto"/>
        <w:rPr>
          <w:rFonts w:ascii="Arial" w:hAnsi="Arial"/>
          <w:sz w:val="40"/>
          <w:szCs w:val="40"/>
        </w:rPr>
      </w:pPr>
    </w:p>
    <w:p w14:paraId="7C66E42F" w14:textId="2AF635A1" w:rsidR="00D31CDB" w:rsidRPr="00860BC1" w:rsidRDefault="005772F5" w:rsidP="00860BC1">
      <w:pPr>
        <w:pStyle w:val="RAtesto"/>
        <w:spacing w:after="0" w:line="240" w:lineRule="auto"/>
        <w:rPr>
          <w:rFonts w:ascii="Arial" w:hAnsi="Arial"/>
          <w:sz w:val="22"/>
          <w:szCs w:val="22"/>
        </w:rPr>
      </w:pPr>
      <w:r w:rsidRPr="005772F5">
        <w:rPr>
          <w:rFonts w:ascii="Arial Black" w:hAnsi="Arial Black"/>
          <w:iCs/>
          <w:noProof/>
          <w:color w:val="1F497D" w:themeColor="text2"/>
          <w:sz w:val="22"/>
          <w:szCs w:val="22"/>
        </w:rPr>
        <w:t>MATRIMONI, UNIONI CIVILI, SEPARAZIONI E DIVORZI IN ITALIA</w:t>
      </w:r>
    </w:p>
    <w:p w14:paraId="375A840F" w14:textId="557A904B" w:rsidR="00757E77" w:rsidRDefault="00C42D57" w:rsidP="00860BC1">
      <w:pPr>
        <w:rPr>
          <w:rFonts w:ascii="Arial Narrow" w:hAnsi="Arial Narrow" w:cs="Arial"/>
          <w:color w:val="1F497D" w:themeColor="text2"/>
          <w:sz w:val="22"/>
          <w:szCs w:val="22"/>
        </w:rPr>
      </w:pPr>
      <w:r w:rsidRPr="0065736C">
        <w:rPr>
          <w:rFonts w:ascii="Arial Narrow" w:hAnsi="Arial Narrow" w:cs="Arial"/>
          <w:color w:val="1F497D" w:themeColor="text2"/>
          <w:sz w:val="22"/>
          <w:szCs w:val="22"/>
        </w:rPr>
        <w:t>A</w:t>
      </w:r>
      <w:r w:rsidR="003B7EF6">
        <w:rPr>
          <w:rFonts w:ascii="Arial Narrow" w:hAnsi="Arial Narrow" w:cs="Arial"/>
          <w:color w:val="1F497D" w:themeColor="text2"/>
          <w:sz w:val="22"/>
          <w:szCs w:val="22"/>
        </w:rPr>
        <w:t>nni 20</w:t>
      </w:r>
      <w:r w:rsidR="00313FE3">
        <w:rPr>
          <w:rFonts w:ascii="Arial Narrow" w:hAnsi="Arial Narrow" w:cs="Arial"/>
          <w:color w:val="1F497D" w:themeColor="text2"/>
          <w:sz w:val="22"/>
          <w:szCs w:val="22"/>
        </w:rPr>
        <w:t>12</w:t>
      </w:r>
      <w:r w:rsidR="005772F5">
        <w:rPr>
          <w:rFonts w:ascii="Arial Narrow" w:hAnsi="Arial Narrow" w:cs="Arial"/>
          <w:color w:val="1F497D" w:themeColor="text2"/>
          <w:sz w:val="22"/>
          <w:szCs w:val="22"/>
        </w:rPr>
        <w:t>-20</w:t>
      </w:r>
      <w:r w:rsidR="003C4CD2">
        <w:rPr>
          <w:rFonts w:ascii="Arial Narrow" w:hAnsi="Arial Narrow" w:cs="Arial"/>
          <w:color w:val="1F497D" w:themeColor="text2"/>
          <w:sz w:val="22"/>
          <w:szCs w:val="22"/>
        </w:rPr>
        <w:t>2</w:t>
      </w:r>
      <w:r w:rsidR="00313FE3">
        <w:rPr>
          <w:rFonts w:ascii="Arial Narrow" w:hAnsi="Arial Narrow" w:cs="Arial"/>
          <w:color w:val="1F497D" w:themeColor="text2"/>
          <w:sz w:val="22"/>
          <w:szCs w:val="22"/>
        </w:rPr>
        <w:t>2</w:t>
      </w:r>
      <w:r w:rsidR="00A2532B" w:rsidRPr="0065736C">
        <w:rPr>
          <w:rFonts w:ascii="Arial Narrow" w:hAnsi="Arial Narrow" w:cs="Arial"/>
          <w:color w:val="1F497D" w:themeColor="text2"/>
          <w:sz w:val="22"/>
          <w:szCs w:val="22"/>
        </w:rPr>
        <w:t xml:space="preserve">, </w:t>
      </w:r>
      <w:r w:rsidR="00792B2D">
        <w:rPr>
          <w:rFonts w:ascii="Arial Narrow" w:hAnsi="Arial Narrow" w:cs="Arial"/>
          <w:color w:val="1F497D" w:themeColor="text2"/>
          <w:sz w:val="22"/>
          <w:szCs w:val="22"/>
        </w:rPr>
        <w:t>valori assoluti, percentuali e per mille</w:t>
      </w:r>
      <w:r w:rsidR="00A2532B">
        <w:rPr>
          <w:rFonts w:ascii="Arial Narrow" w:hAnsi="Arial Narrow" w:cs="Arial"/>
          <w:color w:val="1F497D" w:themeColor="text2"/>
          <w:sz w:val="22"/>
          <w:szCs w:val="22"/>
        </w:rPr>
        <w:t xml:space="preserve"> </w:t>
      </w:r>
    </w:p>
    <w:p w14:paraId="59FE78B1" w14:textId="77777777" w:rsidR="00860BC1" w:rsidRDefault="00860BC1" w:rsidP="00860BC1">
      <w:pPr>
        <w:rPr>
          <w:rFonts w:ascii="Arial Narrow" w:hAnsi="Arial Narrow" w:cs="Arial"/>
          <w:color w:val="1F497D" w:themeColor="text2"/>
          <w:sz w:val="22"/>
          <w:szCs w:val="22"/>
        </w:rPr>
      </w:pPr>
    </w:p>
    <w:tbl>
      <w:tblPr>
        <w:tblW w:w="5143" w:type="pct"/>
        <w:tblBorders>
          <w:top w:val="single" w:sz="4" w:space="0" w:color="FFFFFF" w:themeColor="background1"/>
          <w:bottom w:val="single" w:sz="4" w:space="0" w:color="FFFFFF" w:themeColor="background1"/>
          <w:insideH w:val="single" w:sz="4" w:space="0" w:color="FFFFFF" w:themeColor="background1"/>
        </w:tblBorders>
        <w:tblLook w:val="04A0" w:firstRow="1" w:lastRow="0" w:firstColumn="1" w:lastColumn="0" w:noHBand="0" w:noVBand="1"/>
      </w:tblPr>
      <w:tblGrid>
        <w:gridCol w:w="2677"/>
        <w:gridCol w:w="691"/>
        <w:gridCol w:w="691"/>
        <w:gridCol w:w="691"/>
        <w:gridCol w:w="691"/>
        <w:gridCol w:w="691"/>
        <w:gridCol w:w="691"/>
        <w:gridCol w:w="691"/>
        <w:gridCol w:w="691"/>
        <w:gridCol w:w="618"/>
        <w:gridCol w:w="692"/>
        <w:gridCol w:w="691"/>
      </w:tblGrid>
      <w:tr w:rsidR="00394962" w:rsidRPr="00B11843" w14:paraId="130E1E49" w14:textId="1594D73A" w:rsidTr="00394962">
        <w:trPr>
          <w:trHeight w:val="227"/>
        </w:trPr>
        <w:tc>
          <w:tcPr>
            <w:tcW w:w="1312" w:type="pct"/>
            <w:shd w:val="clear" w:color="auto" w:fill="1F497D"/>
            <w:vAlign w:val="bottom"/>
            <w:hideMark/>
          </w:tcPr>
          <w:p w14:paraId="49B9C543" w14:textId="77777777" w:rsidR="00313FE3" w:rsidRPr="00B11843" w:rsidRDefault="00313FE3" w:rsidP="00313FE3">
            <w:pPr>
              <w:spacing w:before="40" w:after="20"/>
              <w:jc w:val="both"/>
              <w:rPr>
                <w:rFonts w:ascii="Arial Narrow" w:hAnsi="Arial Narrow"/>
                <w:b/>
                <w:bCs/>
                <w:color w:val="FFFFFF" w:themeColor="background1"/>
                <w:sz w:val="18"/>
                <w:szCs w:val="18"/>
              </w:rPr>
            </w:pPr>
            <w:r w:rsidRPr="00B11843">
              <w:rPr>
                <w:rFonts w:ascii="Arial Narrow" w:hAnsi="Arial Narrow"/>
                <w:b/>
                <w:bCs/>
                <w:color w:val="FFFFFF" w:themeColor="background1"/>
                <w:sz w:val="18"/>
                <w:szCs w:val="18"/>
              </w:rPr>
              <w:t>PRINCIPALI INDICATORI</w:t>
            </w:r>
          </w:p>
        </w:tc>
        <w:tc>
          <w:tcPr>
            <w:tcW w:w="339" w:type="pct"/>
            <w:shd w:val="clear" w:color="auto" w:fill="1F497D"/>
            <w:vAlign w:val="center"/>
            <w:hideMark/>
          </w:tcPr>
          <w:p w14:paraId="76D17B65" w14:textId="2BC238FC" w:rsidR="00313FE3" w:rsidRPr="00B11843" w:rsidRDefault="00313FE3" w:rsidP="00313FE3">
            <w:pPr>
              <w:spacing w:before="40" w:after="20"/>
              <w:jc w:val="center"/>
              <w:rPr>
                <w:rFonts w:ascii="Arial Narrow" w:hAnsi="Arial Narrow"/>
                <w:b/>
                <w:bCs/>
                <w:color w:val="FFFFFF" w:themeColor="background1"/>
                <w:sz w:val="18"/>
                <w:szCs w:val="18"/>
              </w:rPr>
            </w:pPr>
            <w:r>
              <w:rPr>
                <w:rFonts w:ascii="Arial Narrow" w:hAnsi="Arial Narrow"/>
                <w:b/>
                <w:bCs/>
                <w:color w:val="FFFFFF"/>
                <w:sz w:val="18"/>
                <w:szCs w:val="18"/>
              </w:rPr>
              <w:t>2012</w:t>
            </w:r>
          </w:p>
        </w:tc>
        <w:tc>
          <w:tcPr>
            <w:tcW w:w="339" w:type="pct"/>
            <w:shd w:val="clear" w:color="auto" w:fill="1F497D"/>
            <w:vAlign w:val="center"/>
            <w:hideMark/>
          </w:tcPr>
          <w:p w14:paraId="5D77CCA6" w14:textId="52F8BD83"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201</w:t>
            </w:r>
            <w:r>
              <w:rPr>
                <w:rFonts w:ascii="Arial Narrow" w:hAnsi="Arial Narrow"/>
                <w:b/>
                <w:bCs/>
                <w:color w:val="FFFFFF"/>
                <w:sz w:val="18"/>
                <w:szCs w:val="18"/>
              </w:rPr>
              <w:t>3</w:t>
            </w:r>
          </w:p>
        </w:tc>
        <w:tc>
          <w:tcPr>
            <w:tcW w:w="339" w:type="pct"/>
            <w:shd w:val="clear" w:color="auto" w:fill="1F497D"/>
            <w:vAlign w:val="center"/>
            <w:hideMark/>
          </w:tcPr>
          <w:p w14:paraId="57F2D8FD" w14:textId="6091297D"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2014</w:t>
            </w:r>
          </w:p>
        </w:tc>
        <w:tc>
          <w:tcPr>
            <w:tcW w:w="339" w:type="pct"/>
            <w:shd w:val="clear" w:color="auto" w:fill="1F497D"/>
            <w:vAlign w:val="center"/>
            <w:hideMark/>
          </w:tcPr>
          <w:p w14:paraId="1A7B5634" w14:textId="3BFCA320"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2015</w:t>
            </w:r>
          </w:p>
        </w:tc>
        <w:tc>
          <w:tcPr>
            <w:tcW w:w="339" w:type="pct"/>
            <w:shd w:val="clear" w:color="auto" w:fill="1F497D"/>
            <w:vAlign w:val="center"/>
            <w:hideMark/>
          </w:tcPr>
          <w:p w14:paraId="08A6B8C6" w14:textId="4B004429"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2016</w:t>
            </w:r>
          </w:p>
        </w:tc>
        <w:tc>
          <w:tcPr>
            <w:tcW w:w="339" w:type="pct"/>
            <w:shd w:val="clear" w:color="auto" w:fill="1F497D"/>
            <w:vAlign w:val="center"/>
            <w:hideMark/>
          </w:tcPr>
          <w:p w14:paraId="7F0B3A06" w14:textId="12B1390B"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2017</w:t>
            </w:r>
          </w:p>
        </w:tc>
        <w:tc>
          <w:tcPr>
            <w:tcW w:w="339" w:type="pct"/>
            <w:shd w:val="clear" w:color="auto" w:fill="1F497D"/>
            <w:vAlign w:val="center"/>
            <w:hideMark/>
          </w:tcPr>
          <w:p w14:paraId="6CBDFDED" w14:textId="1CBD3E82"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2018</w:t>
            </w:r>
          </w:p>
        </w:tc>
        <w:tc>
          <w:tcPr>
            <w:tcW w:w="339" w:type="pct"/>
            <w:shd w:val="clear" w:color="auto" w:fill="1F497D"/>
            <w:vAlign w:val="center"/>
            <w:hideMark/>
          </w:tcPr>
          <w:p w14:paraId="4FC34FC7" w14:textId="4A57FD67"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2019</w:t>
            </w:r>
          </w:p>
        </w:tc>
        <w:tc>
          <w:tcPr>
            <w:tcW w:w="303" w:type="pct"/>
            <w:shd w:val="clear" w:color="auto" w:fill="1F497D"/>
            <w:vAlign w:val="center"/>
            <w:hideMark/>
          </w:tcPr>
          <w:p w14:paraId="12D867AD" w14:textId="3D90B0FB"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2020</w:t>
            </w:r>
          </w:p>
        </w:tc>
        <w:tc>
          <w:tcPr>
            <w:tcW w:w="339" w:type="pct"/>
            <w:shd w:val="clear" w:color="auto" w:fill="1F497D"/>
            <w:vAlign w:val="center"/>
          </w:tcPr>
          <w:p w14:paraId="52A0BB5D" w14:textId="6F0ACBB7" w:rsidR="00313FE3" w:rsidRPr="00B11843" w:rsidRDefault="00313FE3" w:rsidP="00313FE3">
            <w:pPr>
              <w:spacing w:before="40" w:after="20"/>
              <w:jc w:val="center"/>
              <w:rPr>
                <w:rFonts w:ascii="Arial Narrow" w:hAnsi="Arial Narrow"/>
                <w:b/>
                <w:bCs/>
                <w:color w:val="FFFFFF" w:themeColor="background1"/>
                <w:sz w:val="18"/>
                <w:szCs w:val="18"/>
              </w:rPr>
            </w:pPr>
            <w:r w:rsidRPr="00B11843">
              <w:rPr>
                <w:rFonts w:ascii="Arial Narrow" w:hAnsi="Arial Narrow"/>
                <w:b/>
                <w:bCs/>
                <w:color w:val="FFFFFF"/>
                <w:sz w:val="18"/>
                <w:szCs w:val="18"/>
              </w:rPr>
              <w:t>2021</w:t>
            </w:r>
          </w:p>
        </w:tc>
        <w:tc>
          <w:tcPr>
            <w:tcW w:w="339" w:type="pct"/>
            <w:shd w:val="clear" w:color="auto" w:fill="1F497D"/>
            <w:vAlign w:val="center"/>
          </w:tcPr>
          <w:p w14:paraId="6D93E1A6" w14:textId="1C6CBFA1" w:rsidR="00313FE3" w:rsidRPr="00B11843" w:rsidRDefault="00313FE3" w:rsidP="00313FE3">
            <w:pPr>
              <w:spacing w:before="40" w:after="20"/>
              <w:jc w:val="center"/>
              <w:rPr>
                <w:rFonts w:ascii="Arial Narrow" w:hAnsi="Arial Narrow"/>
                <w:b/>
                <w:bCs/>
                <w:color w:val="FFFFFF"/>
                <w:sz w:val="18"/>
                <w:szCs w:val="18"/>
              </w:rPr>
            </w:pPr>
            <w:r w:rsidRPr="00B11843">
              <w:rPr>
                <w:rFonts w:ascii="Arial Narrow" w:hAnsi="Arial Narrow"/>
                <w:b/>
                <w:bCs/>
                <w:color w:val="FFFFFF"/>
                <w:sz w:val="18"/>
                <w:szCs w:val="18"/>
              </w:rPr>
              <w:t>202</w:t>
            </w:r>
            <w:r>
              <w:rPr>
                <w:rFonts w:ascii="Arial Narrow" w:hAnsi="Arial Narrow"/>
                <w:b/>
                <w:bCs/>
                <w:color w:val="FFFFFF"/>
                <w:sz w:val="18"/>
                <w:szCs w:val="18"/>
              </w:rPr>
              <w:t>2</w:t>
            </w:r>
          </w:p>
        </w:tc>
      </w:tr>
      <w:tr w:rsidR="00394962" w:rsidRPr="00F500D2" w14:paraId="23530C9E" w14:textId="5D3FC50E" w:rsidTr="00394962">
        <w:trPr>
          <w:trHeight w:val="227"/>
        </w:trPr>
        <w:tc>
          <w:tcPr>
            <w:tcW w:w="1312" w:type="pct"/>
            <w:shd w:val="clear" w:color="auto" w:fill="auto"/>
            <w:vAlign w:val="bottom"/>
            <w:hideMark/>
          </w:tcPr>
          <w:p w14:paraId="1FAC801B"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Matrimoni totali</w:t>
            </w:r>
          </w:p>
        </w:tc>
        <w:tc>
          <w:tcPr>
            <w:tcW w:w="339" w:type="pct"/>
            <w:shd w:val="clear" w:color="auto" w:fill="D9D9D9" w:themeFill="background1" w:themeFillShade="D9"/>
            <w:vAlign w:val="center"/>
            <w:hideMark/>
          </w:tcPr>
          <w:p w14:paraId="37BB5E61" w14:textId="05EED9A2"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207.138</w:t>
            </w:r>
          </w:p>
        </w:tc>
        <w:tc>
          <w:tcPr>
            <w:tcW w:w="339" w:type="pct"/>
            <w:shd w:val="clear" w:color="auto" w:fill="auto"/>
            <w:vAlign w:val="center"/>
            <w:hideMark/>
          </w:tcPr>
          <w:p w14:paraId="2A208F86" w14:textId="580BB61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194.057</w:t>
            </w:r>
          </w:p>
        </w:tc>
        <w:tc>
          <w:tcPr>
            <w:tcW w:w="339" w:type="pct"/>
            <w:shd w:val="clear" w:color="auto" w:fill="D9D9D9" w:themeFill="background1" w:themeFillShade="D9"/>
            <w:vAlign w:val="center"/>
            <w:hideMark/>
          </w:tcPr>
          <w:p w14:paraId="3E2ECAD1" w14:textId="6800BE10"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189.765</w:t>
            </w:r>
          </w:p>
        </w:tc>
        <w:tc>
          <w:tcPr>
            <w:tcW w:w="339" w:type="pct"/>
            <w:shd w:val="clear" w:color="auto" w:fill="auto"/>
            <w:vAlign w:val="center"/>
            <w:hideMark/>
          </w:tcPr>
          <w:p w14:paraId="2427842D" w14:textId="2E12393B"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194.377</w:t>
            </w:r>
          </w:p>
        </w:tc>
        <w:tc>
          <w:tcPr>
            <w:tcW w:w="339" w:type="pct"/>
            <w:shd w:val="clear" w:color="auto" w:fill="D9D9D9" w:themeFill="background1" w:themeFillShade="D9"/>
            <w:vAlign w:val="center"/>
            <w:hideMark/>
          </w:tcPr>
          <w:p w14:paraId="1B067A6E" w14:textId="51D05B0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203.258</w:t>
            </w:r>
          </w:p>
        </w:tc>
        <w:tc>
          <w:tcPr>
            <w:tcW w:w="339" w:type="pct"/>
            <w:shd w:val="clear" w:color="auto" w:fill="auto"/>
            <w:vAlign w:val="center"/>
            <w:hideMark/>
          </w:tcPr>
          <w:p w14:paraId="62939DC2" w14:textId="7B5EEE3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191.287</w:t>
            </w:r>
          </w:p>
        </w:tc>
        <w:tc>
          <w:tcPr>
            <w:tcW w:w="339" w:type="pct"/>
            <w:shd w:val="clear" w:color="auto" w:fill="D9D9D9" w:themeFill="background1" w:themeFillShade="D9"/>
            <w:vAlign w:val="center"/>
            <w:hideMark/>
          </w:tcPr>
          <w:p w14:paraId="54180679" w14:textId="13B03A6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195.778</w:t>
            </w:r>
          </w:p>
        </w:tc>
        <w:tc>
          <w:tcPr>
            <w:tcW w:w="339" w:type="pct"/>
            <w:shd w:val="clear" w:color="auto" w:fill="auto"/>
            <w:vAlign w:val="center"/>
            <w:hideMark/>
          </w:tcPr>
          <w:p w14:paraId="38BD387C" w14:textId="673B63C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184.088</w:t>
            </w:r>
          </w:p>
        </w:tc>
        <w:tc>
          <w:tcPr>
            <w:tcW w:w="303" w:type="pct"/>
            <w:shd w:val="clear" w:color="auto" w:fill="D9D9D9" w:themeFill="background1" w:themeFillShade="D9"/>
            <w:vAlign w:val="center"/>
            <w:hideMark/>
          </w:tcPr>
          <w:p w14:paraId="4E2CAF6F" w14:textId="3F6B73D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96.841</w:t>
            </w:r>
          </w:p>
        </w:tc>
        <w:tc>
          <w:tcPr>
            <w:tcW w:w="339" w:type="pct"/>
            <w:shd w:val="clear" w:color="auto" w:fill="auto"/>
            <w:vAlign w:val="center"/>
          </w:tcPr>
          <w:p w14:paraId="7CCF659B" w14:textId="0A6B229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180.416</w:t>
            </w:r>
          </w:p>
        </w:tc>
        <w:tc>
          <w:tcPr>
            <w:tcW w:w="339" w:type="pct"/>
            <w:shd w:val="clear" w:color="auto" w:fill="D9D9D9" w:themeFill="background1" w:themeFillShade="D9"/>
          </w:tcPr>
          <w:p w14:paraId="2CA052DF" w14:textId="1CDB550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189.140</w:t>
            </w:r>
          </w:p>
        </w:tc>
      </w:tr>
      <w:tr w:rsidR="00394962" w:rsidRPr="00F500D2" w14:paraId="4F8C1010" w14:textId="6FB379C2" w:rsidTr="00394962">
        <w:trPr>
          <w:trHeight w:val="227"/>
        </w:trPr>
        <w:tc>
          <w:tcPr>
            <w:tcW w:w="1312" w:type="pct"/>
            <w:shd w:val="clear" w:color="auto" w:fill="auto"/>
            <w:vAlign w:val="bottom"/>
            <w:hideMark/>
          </w:tcPr>
          <w:p w14:paraId="4417D454"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Matrimoni di sposi entrambi italiani</w:t>
            </w:r>
          </w:p>
        </w:tc>
        <w:tc>
          <w:tcPr>
            <w:tcW w:w="339" w:type="pct"/>
            <w:shd w:val="clear" w:color="auto" w:fill="D9D9D9" w:themeFill="background1" w:themeFillShade="D9"/>
            <w:vAlign w:val="center"/>
            <w:hideMark/>
          </w:tcPr>
          <w:p w14:paraId="61396691" w14:textId="411E9EB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176.414</w:t>
            </w:r>
          </w:p>
        </w:tc>
        <w:tc>
          <w:tcPr>
            <w:tcW w:w="339" w:type="pct"/>
            <w:shd w:val="clear" w:color="auto" w:fill="auto"/>
            <w:vAlign w:val="center"/>
            <w:hideMark/>
          </w:tcPr>
          <w:p w14:paraId="7220B086" w14:textId="358070D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165.884</w:t>
            </w:r>
          </w:p>
        </w:tc>
        <w:tc>
          <w:tcPr>
            <w:tcW w:w="339" w:type="pct"/>
            <w:shd w:val="clear" w:color="auto" w:fill="D9D9D9" w:themeFill="background1" w:themeFillShade="D9"/>
            <w:vAlign w:val="center"/>
            <w:hideMark/>
          </w:tcPr>
          <w:p w14:paraId="6B20FB70" w14:textId="783D7FD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161.487</w:t>
            </w:r>
          </w:p>
        </w:tc>
        <w:tc>
          <w:tcPr>
            <w:tcW w:w="339" w:type="pct"/>
            <w:shd w:val="clear" w:color="auto" w:fill="auto"/>
            <w:vAlign w:val="center"/>
            <w:hideMark/>
          </w:tcPr>
          <w:p w14:paraId="6B5AF424" w14:textId="3ED0CF3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164.952</w:t>
            </w:r>
          </w:p>
        </w:tc>
        <w:tc>
          <w:tcPr>
            <w:tcW w:w="339" w:type="pct"/>
            <w:shd w:val="clear" w:color="auto" w:fill="D9D9D9" w:themeFill="background1" w:themeFillShade="D9"/>
            <w:vAlign w:val="center"/>
            <w:hideMark/>
          </w:tcPr>
          <w:p w14:paraId="1B54FE0B" w14:textId="26E480BA"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172.142</w:t>
            </w:r>
          </w:p>
        </w:tc>
        <w:tc>
          <w:tcPr>
            <w:tcW w:w="339" w:type="pct"/>
            <w:shd w:val="clear" w:color="auto" w:fill="auto"/>
            <w:vAlign w:val="center"/>
            <w:hideMark/>
          </w:tcPr>
          <w:p w14:paraId="26A2B44E" w14:textId="3D9A219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158.964</w:t>
            </w:r>
          </w:p>
        </w:tc>
        <w:tc>
          <w:tcPr>
            <w:tcW w:w="339" w:type="pct"/>
            <w:shd w:val="clear" w:color="auto" w:fill="D9D9D9" w:themeFill="background1" w:themeFillShade="D9"/>
            <w:vAlign w:val="center"/>
            <w:hideMark/>
          </w:tcPr>
          <w:p w14:paraId="4AEBD2AD" w14:textId="0B77D26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161.845</w:t>
            </w:r>
          </w:p>
        </w:tc>
        <w:tc>
          <w:tcPr>
            <w:tcW w:w="339" w:type="pct"/>
            <w:shd w:val="clear" w:color="auto" w:fill="auto"/>
            <w:vAlign w:val="center"/>
            <w:hideMark/>
          </w:tcPr>
          <w:p w14:paraId="53FE157B" w14:textId="3DD5037B"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149.903</w:t>
            </w:r>
          </w:p>
        </w:tc>
        <w:tc>
          <w:tcPr>
            <w:tcW w:w="303" w:type="pct"/>
            <w:shd w:val="clear" w:color="auto" w:fill="D9D9D9" w:themeFill="background1" w:themeFillShade="D9"/>
            <w:vAlign w:val="center"/>
            <w:hideMark/>
          </w:tcPr>
          <w:p w14:paraId="558AF955" w14:textId="2420865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78.009</w:t>
            </w:r>
          </w:p>
        </w:tc>
        <w:tc>
          <w:tcPr>
            <w:tcW w:w="339" w:type="pct"/>
            <w:shd w:val="clear" w:color="auto" w:fill="auto"/>
            <w:vAlign w:val="center"/>
          </w:tcPr>
          <w:p w14:paraId="4C6173F6" w14:textId="678D7EDD" w:rsidR="00313FE3" w:rsidRPr="004A41BC" w:rsidRDefault="00313FE3" w:rsidP="000D7092">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15</w:t>
            </w:r>
            <w:r w:rsidR="000D7092" w:rsidRPr="004A41BC">
              <w:rPr>
                <w:rFonts w:ascii="Arial Narrow" w:hAnsi="Arial Narrow"/>
                <w:color w:val="404040" w:themeColor="text1" w:themeTint="BF"/>
                <w:sz w:val="16"/>
                <w:szCs w:val="16"/>
              </w:rPr>
              <w:t>6</w:t>
            </w:r>
            <w:r w:rsidRPr="004A41BC">
              <w:rPr>
                <w:rFonts w:ascii="Arial Narrow" w:hAnsi="Arial Narrow"/>
                <w:color w:val="404040" w:themeColor="text1" w:themeTint="BF"/>
                <w:sz w:val="16"/>
                <w:szCs w:val="16"/>
              </w:rPr>
              <w:t>.</w:t>
            </w:r>
            <w:r w:rsidR="000D7092" w:rsidRPr="004A41BC">
              <w:rPr>
                <w:rFonts w:ascii="Arial Narrow" w:hAnsi="Arial Narrow"/>
                <w:color w:val="404040" w:themeColor="text1" w:themeTint="BF"/>
                <w:sz w:val="16"/>
                <w:szCs w:val="16"/>
              </w:rPr>
              <w:t>036</w:t>
            </w:r>
          </w:p>
        </w:tc>
        <w:tc>
          <w:tcPr>
            <w:tcW w:w="339" w:type="pct"/>
            <w:shd w:val="clear" w:color="auto" w:fill="D9D9D9" w:themeFill="background1" w:themeFillShade="D9"/>
          </w:tcPr>
          <w:p w14:paraId="6B25CDE5" w14:textId="6D461DF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159.566</w:t>
            </w:r>
          </w:p>
        </w:tc>
      </w:tr>
      <w:tr w:rsidR="00394962" w:rsidRPr="00F500D2" w14:paraId="0BE8230B" w14:textId="2EBFE4FC" w:rsidTr="00394962">
        <w:trPr>
          <w:trHeight w:val="227"/>
        </w:trPr>
        <w:tc>
          <w:tcPr>
            <w:tcW w:w="1312" w:type="pct"/>
            <w:shd w:val="clear" w:color="auto" w:fill="auto"/>
            <w:vAlign w:val="bottom"/>
            <w:hideMark/>
          </w:tcPr>
          <w:p w14:paraId="4B511C04"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Primi matrimoni</w:t>
            </w:r>
          </w:p>
        </w:tc>
        <w:tc>
          <w:tcPr>
            <w:tcW w:w="339" w:type="pct"/>
            <w:shd w:val="clear" w:color="auto" w:fill="D9D9D9" w:themeFill="background1" w:themeFillShade="D9"/>
            <w:vAlign w:val="center"/>
            <w:hideMark/>
          </w:tcPr>
          <w:p w14:paraId="01AC9601" w14:textId="156B410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174.583</w:t>
            </w:r>
          </w:p>
        </w:tc>
        <w:tc>
          <w:tcPr>
            <w:tcW w:w="339" w:type="pct"/>
            <w:shd w:val="clear" w:color="auto" w:fill="auto"/>
            <w:vAlign w:val="center"/>
            <w:hideMark/>
          </w:tcPr>
          <w:p w14:paraId="550361F4" w14:textId="6EAA0E9F"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163.366</w:t>
            </w:r>
          </w:p>
        </w:tc>
        <w:tc>
          <w:tcPr>
            <w:tcW w:w="339" w:type="pct"/>
            <w:shd w:val="clear" w:color="auto" w:fill="D9D9D9" w:themeFill="background1" w:themeFillShade="D9"/>
            <w:vAlign w:val="center"/>
            <w:hideMark/>
          </w:tcPr>
          <w:p w14:paraId="7DD1B351" w14:textId="4D9A9EB0"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159.127</w:t>
            </w:r>
          </w:p>
        </w:tc>
        <w:tc>
          <w:tcPr>
            <w:tcW w:w="339" w:type="pct"/>
            <w:shd w:val="clear" w:color="auto" w:fill="auto"/>
            <w:vAlign w:val="center"/>
            <w:hideMark/>
          </w:tcPr>
          <w:p w14:paraId="70D92DEC" w14:textId="4359768A"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160.798</w:t>
            </w:r>
          </w:p>
        </w:tc>
        <w:tc>
          <w:tcPr>
            <w:tcW w:w="339" w:type="pct"/>
            <w:shd w:val="clear" w:color="auto" w:fill="D9D9D9" w:themeFill="background1" w:themeFillShade="D9"/>
            <w:vAlign w:val="center"/>
            <w:hideMark/>
          </w:tcPr>
          <w:p w14:paraId="56C3AE8B" w14:textId="69C29C3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165.316</w:t>
            </w:r>
          </w:p>
        </w:tc>
        <w:tc>
          <w:tcPr>
            <w:tcW w:w="339" w:type="pct"/>
            <w:shd w:val="clear" w:color="auto" w:fill="auto"/>
            <w:vAlign w:val="center"/>
            <w:hideMark/>
          </w:tcPr>
          <w:p w14:paraId="2C0BF56C" w14:textId="5091355A"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152.500</w:t>
            </w:r>
          </w:p>
        </w:tc>
        <w:tc>
          <w:tcPr>
            <w:tcW w:w="339" w:type="pct"/>
            <w:shd w:val="clear" w:color="auto" w:fill="D9D9D9" w:themeFill="background1" w:themeFillShade="D9"/>
            <w:vAlign w:val="center"/>
            <w:hideMark/>
          </w:tcPr>
          <w:p w14:paraId="61D2EB6D" w14:textId="5FD07AF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156.870</w:t>
            </w:r>
          </w:p>
        </w:tc>
        <w:tc>
          <w:tcPr>
            <w:tcW w:w="339" w:type="pct"/>
            <w:shd w:val="clear" w:color="auto" w:fill="auto"/>
            <w:vAlign w:val="center"/>
            <w:hideMark/>
          </w:tcPr>
          <w:p w14:paraId="739EA177" w14:textId="0CD2D11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146.150</w:t>
            </w:r>
          </w:p>
        </w:tc>
        <w:tc>
          <w:tcPr>
            <w:tcW w:w="303" w:type="pct"/>
            <w:shd w:val="clear" w:color="auto" w:fill="D9D9D9" w:themeFill="background1" w:themeFillShade="D9"/>
            <w:vAlign w:val="center"/>
            <w:hideMark/>
          </w:tcPr>
          <w:p w14:paraId="27A54F83" w14:textId="02A4A79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69.743</w:t>
            </w:r>
          </w:p>
        </w:tc>
        <w:tc>
          <w:tcPr>
            <w:tcW w:w="339" w:type="pct"/>
            <w:shd w:val="clear" w:color="auto" w:fill="auto"/>
            <w:vAlign w:val="center"/>
          </w:tcPr>
          <w:p w14:paraId="154B2255" w14:textId="11CE376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142.394</w:t>
            </w:r>
          </w:p>
        </w:tc>
        <w:tc>
          <w:tcPr>
            <w:tcW w:w="339" w:type="pct"/>
            <w:shd w:val="clear" w:color="auto" w:fill="D9D9D9" w:themeFill="background1" w:themeFillShade="D9"/>
          </w:tcPr>
          <w:p w14:paraId="7A205B7A" w14:textId="17D3E62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146.222</w:t>
            </w:r>
          </w:p>
        </w:tc>
      </w:tr>
      <w:tr w:rsidR="00394962" w:rsidRPr="00F500D2" w14:paraId="64974B2D" w14:textId="774448C1" w:rsidTr="00394962">
        <w:trPr>
          <w:trHeight w:val="227"/>
        </w:trPr>
        <w:tc>
          <w:tcPr>
            <w:tcW w:w="1312" w:type="pct"/>
            <w:shd w:val="clear" w:color="auto" w:fill="auto"/>
            <w:vAlign w:val="bottom"/>
            <w:hideMark/>
          </w:tcPr>
          <w:p w14:paraId="6395174A" w14:textId="37A6402C"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Primo-nuzialità M (16-49) per mille</w:t>
            </w:r>
          </w:p>
        </w:tc>
        <w:tc>
          <w:tcPr>
            <w:tcW w:w="339" w:type="pct"/>
            <w:shd w:val="clear" w:color="auto" w:fill="D9D9D9" w:themeFill="background1" w:themeFillShade="D9"/>
            <w:vAlign w:val="center"/>
            <w:hideMark/>
          </w:tcPr>
          <w:p w14:paraId="69AB57DC" w14:textId="6C82FB7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461,1</w:t>
            </w:r>
          </w:p>
        </w:tc>
        <w:tc>
          <w:tcPr>
            <w:tcW w:w="339" w:type="pct"/>
            <w:shd w:val="clear" w:color="auto" w:fill="auto"/>
            <w:vAlign w:val="center"/>
            <w:hideMark/>
          </w:tcPr>
          <w:p w14:paraId="6D5674ED" w14:textId="25C10D1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433,5</w:t>
            </w:r>
          </w:p>
        </w:tc>
        <w:tc>
          <w:tcPr>
            <w:tcW w:w="339" w:type="pct"/>
            <w:shd w:val="clear" w:color="auto" w:fill="D9D9D9" w:themeFill="background1" w:themeFillShade="D9"/>
            <w:vAlign w:val="center"/>
            <w:hideMark/>
          </w:tcPr>
          <w:p w14:paraId="28D0986B" w14:textId="3AD890C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428,1</w:t>
            </w:r>
          </w:p>
        </w:tc>
        <w:tc>
          <w:tcPr>
            <w:tcW w:w="339" w:type="pct"/>
            <w:shd w:val="clear" w:color="auto" w:fill="auto"/>
            <w:vAlign w:val="center"/>
            <w:hideMark/>
          </w:tcPr>
          <w:p w14:paraId="6573FF22" w14:textId="760EFE7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436,8</w:t>
            </w:r>
          </w:p>
        </w:tc>
        <w:tc>
          <w:tcPr>
            <w:tcW w:w="339" w:type="pct"/>
            <w:shd w:val="clear" w:color="auto" w:fill="D9D9D9" w:themeFill="background1" w:themeFillShade="D9"/>
            <w:vAlign w:val="center"/>
            <w:hideMark/>
          </w:tcPr>
          <w:p w14:paraId="2E0FB962" w14:textId="42EE852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456,4</w:t>
            </w:r>
          </w:p>
        </w:tc>
        <w:tc>
          <w:tcPr>
            <w:tcW w:w="339" w:type="pct"/>
            <w:shd w:val="clear" w:color="auto" w:fill="auto"/>
            <w:vAlign w:val="center"/>
            <w:hideMark/>
          </w:tcPr>
          <w:p w14:paraId="2C47AC02" w14:textId="35D5BAA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425,0</w:t>
            </w:r>
          </w:p>
        </w:tc>
        <w:tc>
          <w:tcPr>
            <w:tcW w:w="339" w:type="pct"/>
            <w:shd w:val="clear" w:color="auto" w:fill="D9D9D9" w:themeFill="background1" w:themeFillShade="D9"/>
            <w:vAlign w:val="center"/>
            <w:hideMark/>
          </w:tcPr>
          <w:p w14:paraId="549EA689" w14:textId="0EB3CA42"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437,4</w:t>
            </w:r>
          </w:p>
        </w:tc>
        <w:tc>
          <w:tcPr>
            <w:tcW w:w="339" w:type="pct"/>
            <w:shd w:val="clear" w:color="auto" w:fill="auto"/>
            <w:vAlign w:val="center"/>
            <w:hideMark/>
          </w:tcPr>
          <w:p w14:paraId="6567BF7E" w14:textId="4D0DE60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410,4</w:t>
            </w:r>
          </w:p>
        </w:tc>
        <w:tc>
          <w:tcPr>
            <w:tcW w:w="303" w:type="pct"/>
            <w:shd w:val="clear" w:color="auto" w:fill="D9D9D9" w:themeFill="background1" w:themeFillShade="D9"/>
            <w:vAlign w:val="center"/>
            <w:hideMark/>
          </w:tcPr>
          <w:p w14:paraId="582A29ED" w14:textId="56CB016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195,7</w:t>
            </w:r>
          </w:p>
        </w:tc>
        <w:tc>
          <w:tcPr>
            <w:tcW w:w="339" w:type="pct"/>
            <w:shd w:val="clear" w:color="auto" w:fill="auto"/>
            <w:vAlign w:val="center"/>
          </w:tcPr>
          <w:p w14:paraId="4AFE14FA" w14:textId="767A633A"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412,0</w:t>
            </w:r>
          </w:p>
        </w:tc>
        <w:tc>
          <w:tcPr>
            <w:tcW w:w="339" w:type="pct"/>
            <w:shd w:val="clear" w:color="auto" w:fill="D9D9D9" w:themeFill="background1" w:themeFillShade="D9"/>
          </w:tcPr>
          <w:p w14:paraId="44B92D87" w14:textId="6C2E401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421,4</w:t>
            </w:r>
          </w:p>
        </w:tc>
      </w:tr>
      <w:tr w:rsidR="00394962" w:rsidRPr="00F500D2" w14:paraId="30C4DE99" w14:textId="73FB88F7" w:rsidTr="00394962">
        <w:trPr>
          <w:trHeight w:val="227"/>
        </w:trPr>
        <w:tc>
          <w:tcPr>
            <w:tcW w:w="1312" w:type="pct"/>
            <w:shd w:val="clear" w:color="auto" w:fill="auto"/>
            <w:vAlign w:val="bottom"/>
            <w:hideMark/>
          </w:tcPr>
          <w:p w14:paraId="1B2BF4A3" w14:textId="033238AC"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Primo-nuzialità F (16-49) per mille</w:t>
            </w:r>
          </w:p>
        </w:tc>
        <w:tc>
          <w:tcPr>
            <w:tcW w:w="339" w:type="pct"/>
            <w:shd w:val="clear" w:color="auto" w:fill="D9D9D9" w:themeFill="background1" w:themeFillShade="D9"/>
            <w:vAlign w:val="center"/>
            <w:hideMark/>
          </w:tcPr>
          <w:p w14:paraId="0054CB4A" w14:textId="64822462"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506,3</w:t>
            </w:r>
          </w:p>
        </w:tc>
        <w:tc>
          <w:tcPr>
            <w:tcW w:w="339" w:type="pct"/>
            <w:shd w:val="clear" w:color="auto" w:fill="auto"/>
            <w:vAlign w:val="center"/>
            <w:hideMark/>
          </w:tcPr>
          <w:p w14:paraId="50078097" w14:textId="6A0DB1FB"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475,7</w:t>
            </w:r>
          </w:p>
        </w:tc>
        <w:tc>
          <w:tcPr>
            <w:tcW w:w="339" w:type="pct"/>
            <w:shd w:val="clear" w:color="auto" w:fill="D9D9D9" w:themeFill="background1" w:themeFillShade="D9"/>
            <w:vAlign w:val="center"/>
            <w:hideMark/>
          </w:tcPr>
          <w:p w14:paraId="4ADD0F3A" w14:textId="6D737E1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468,5</w:t>
            </w:r>
          </w:p>
        </w:tc>
        <w:tc>
          <w:tcPr>
            <w:tcW w:w="339" w:type="pct"/>
            <w:shd w:val="clear" w:color="auto" w:fill="auto"/>
            <w:vAlign w:val="center"/>
            <w:hideMark/>
          </w:tcPr>
          <w:p w14:paraId="1D9DFB4A" w14:textId="7403A792"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480,4</w:t>
            </w:r>
          </w:p>
        </w:tc>
        <w:tc>
          <w:tcPr>
            <w:tcW w:w="339" w:type="pct"/>
            <w:shd w:val="clear" w:color="auto" w:fill="D9D9D9" w:themeFill="background1" w:themeFillShade="D9"/>
            <w:vAlign w:val="center"/>
            <w:hideMark/>
          </w:tcPr>
          <w:p w14:paraId="50BE09D8" w14:textId="0265DC6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502,8</w:t>
            </w:r>
          </w:p>
        </w:tc>
        <w:tc>
          <w:tcPr>
            <w:tcW w:w="339" w:type="pct"/>
            <w:shd w:val="clear" w:color="auto" w:fill="auto"/>
            <w:vAlign w:val="center"/>
            <w:hideMark/>
          </w:tcPr>
          <w:p w14:paraId="258C73A5" w14:textId="68C8785F"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470,3</w:t>
            </w:r>
          </w:p>
        </w:tc>
        <w:tc>
          <w:tcPr>
            <w:tcW w:w="339" w:type="pct"/>
            <w:shd w:val="clear" w:color="auto" w:fill="D9D9D9" w:themeFill="background1" w:themeFillShade="D9"/>
            <w:vAlign w:val="center"/>
            <w:hideMark/>
          </w:tcPr>
          <w:p w14:paraId="183D420F" w14:textId="48CBB20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485,5</w:t>
            </w:r>
          </w:p>
        </w:tc>
        <w:tc>
          <w:tcPr>
            <w:tcW w:w="339" w:type="pct"/>
            <w:shd w:val="clear" w:color="auto" w:fill="auto"/>
            <w:vAlign w:val="center"/>
            <w:hideMark/>
          </w:tcPr>
          <w:p w14:paraId="011BE703" w14:textId="339F702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454,7</w:t>
            </w:r>
          </w:p>
        </w:tc>
        <w:tc>
          <w:tcPr>
            <w:tcW w:w="303" w:type="pct"/>
            <w:shd w:val="clear" w:color="auto" w:fill="D9D9D9" w:themeFill="background1" w:themeFillShade="D9"/>
            <w:vAlign w:val="center"/>
            <w:hideMark/>
          </w:tcPr>
          <w:p w14:paraId="2679FBFD" w14:textId="02D2930B"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220,3</w:t>
            </w:r>
          </w:p>
        </w:tc>
        <w:tc>
          <w:tcPr>
            <w:tcW w:w="339" w:type="pct"/>
            <w:shd w:val="clear" w:color="auto" w:fill="auto"/>
            <w:vAlign w:val="center"/>
          </w:tcPr>
          <w:p w14:paraId="5649EC2B" w14:textId="6C142BDF"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457,5</w:t>
            </w:r>
          </w:p>
        </w:tc>
        <w:tc>
          <w:tcPr>
            <w:tcW w:w="339" w:type="pct"/>
            <w:shd w:val="clear" w:color="auto" w:fill="D9D9D9" w:themeFill="background1" w:themeFillShade="D9"/>
          </w:tcPr>
          <w:p w14:paraId="1FBF5225" w14:textId="51CCD06A"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471,2</w:t>
            </w:r>
          </w:p>
        </w:tc>
      </w:tr>
      <w:tr w:rsidR="00394962" w:rsidRPr="00F500D2" w14:paraId="417E5F03" w14:textId="24A5224B" w:rsidTr="00394962">
        <w:trPr>
          <w:trHeight w:val="227"/>
        </w:trPr>
        <w:tc>
          <w:tcPr>
            <w:tcW w:w="1312" w:type="pct"/>
            <w:shd w:val="clear" w:color="auto" w:fill="auto"/>
            <w:vAlign w:val="bottom"/>
            <w:hideMark/>
          </w:tcPr>
          <w:p w14:paraId="0B9C4FB7"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Età media primo matrimonio M (16-49)</w:t>
            </w:r>
          </w:p>
        </w:tc>
        <w:tc>
          <w:tcPr>
            <w:tcW w:w="339" w:type="pct"/>
            <w:shd w:val="clear" w:color="auto" w:fill="D9D9D9" w:themeFill="background1" w:themeFillShade="D9"/>
            <w:vAlign w:val="center"/>
            <w:hideMark/>
          </w:tcPr>
          <w:p w14:paraId="06AADD30" w14:textId="2E7ACA6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32,7</w:t>
            </w:r>
          </w:p>
        </w:tc>
        <w:tc>
          <w:tcPr>
            <w:tcW w:w="339" w:type="pct"/>
            <w:shd w:val="clear" w:color="auto" w:fill="auto"/>
            <w:vAlign w:val="center"/>
            <w:hideMark/>
          </w:tcPr>
          <w:p w14:paraId="63F43105" w14:textId="2613DDA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33,0</w:t>
            </w:r>
          </w:p>
        </w:tc>
        <w:tc>
          <w:tcPr>
            <w:tcW w:w="339" w:type="pct"/>
            <w:shd w:val="clear" w:color="auto" w:fill="D9D9D9" w:themeFill="background1" w:themeFillShade="D9"/>
            <w:vAlign w:val="center"/>
            <w:hideMark/>
          </w:tcPr>
          <w:p w14:paraId="2A098650" w14:textId="14FF1200"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33,1</w:t>
            </w:r>
          </w:p>
        </w:tc>
        <w:tc>
          <w:tcPr>
            <w:tcW w:w="339" w:type="pct"/>
            <w:shd w:val="clear" w:color="auto" w:fill="auto"/>
            <w:vAlign w:val="center"/>
            <w:hideMark/>
          </w:tcPr>
          <w:p w14:paraId="4A728606" w14:textId="0A6A73A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33,3</w:t>
            </w:r>
          </w:p>
        </w:tc>
        <w:tc>
          <w:tcPr>
            <w:tcW w:w="339" w:type="pct"/>
            <w:shd w:val="clear" w:color="auto" w:fill="D9D9D9" w:themeFill="background1" w:themeFillShade="D9"/>
            <w:vAlign w:val="center"/>
            <w:hideMark/>
          </w:tcPr>
          <w:p w14:paraId="268C81A7" w14:textId="4A3954D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33,4</w:t>
            </w:r>
          </w:p>
        </w:tc>
        <w:tc>
          <w:tcPr>
            <w:tcW w:w="339" w:type="pct"/>
            <w:shd w:val="clear" w:color="auto" w:fill="auto"/>
            <w:vAlign w:val="center"/>
            <w:hideMark/>
          </w:tcPr>
          <w:p w14:paraId="7756A59A" w14:textId="5CD8C00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33,6</w:t>
            </w:r>
          </w:p>
        </w:tc>
        <w:tc>
          <w:tcPr>
            <w:tcW w:w="339" w:type="pct"/>
            <w:shd w:val="clear" w:color="auto" w:fill="D9D9D9" w:themeFill="background1" w:themeFillShade="D9"/>
            <w:vAlign w:val="center"/>
            <w:hideMark/>
          </w:tcPr>
          <w:p w14:paraId="521BFF27" w14:textId="1F11BB5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33,7</w:t>
            </w:r>
          </w:p>
        </w:tc>
        <w:tc>
          <w:tcPr>
            <w:tcW w:w="339" w:type="pct"/>
            <w:shd w:val="clear" w:color="auto" w:fill="auto"/>
            <w:vAlign w:val="center"/>
            <w:hideMark/>
          </w:tcPr>
          <w:p w14:paraId="17185EE6" w14:textId="4292D6E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33,9</w:t>
            </w:r>
          </w:p>
        </w:tc>
        <w:tc>
          <w:tcPr>
            <w:tcW w:w="303" w:type="pct"/>
            <w:shd w:val="clear" w:color="auto" w:fill="D9D9D9" w:themeFill="background1" w:themeFillShade="D9"/>
            <w:vAlign w:val="center"/>
            <w:hideMark/>
          </w:tcPr>
          <w:p w14:paraId="1CFD6E54" w14:textId="7A04E67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34,1</w:t>
            </w:r>
          </w:p>
        </w:tc>
        <w:tc>
          <w:tcPr>
            <w:tcW w:w="339" w:type="pct"/>
            <w:shd w:val="clear" w:color="auto" w:fill="auto"/>
            <w:vAlign w:val="center"/>
          </w:tcPr>
          <w:p w14:paraId="38CAA609" w14:textId="2D0ECC1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34,3</w:t>
            </w:r>
          </w:p>
        </w:tc>
        <w:tc>
          <w:tcPr>
            <w:tcW w:w="339" w:type="pct"/>
            <w:shd w:val="clear" w:color="auto" w:fill="D9D9D9" w:themeFill="background1" w:themeFillShade="D9"/>
          </w:tcPr>
          <w:p w14:paraId="01DCC481" w14:textId="58365F7A"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34,6</w:t>
            </w:r>
          </w:p>
        </w:tc>
      </w:tr>
      <w:tr w:rsidR="00394962" w:rsidRPr="00F500D2" w14:paraId="2A39E8B1" w14:textId="1358520A" w:rsidTr="00394962">
        <w:trPr>
          <w:trHeight w:val="227"/>
        </w:trPr>
        <w:tc>
          <w:tcPr>
            <w:tcW w:w="1312" w:type="pct"/>
            <w:shd w:val="clear" w:color="auto" w:fill="auto"/>
            <w:vAlign w:val="bottom"/>
            <w:hideMark/>
          </w:tcPr>
          <w:p w14:paraId="280FCF68"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Età media primo matrimonio F (16-49)</w:t>
            </w:r>
          </w:p>
        </w:tc>
        <w:tc>
          <w:tcPr>
            <w:tcW w:w="339" w:type="pct"/>
            <w:shd w:val="clear" w:color="auto" w:fill="D9D9D9" w:themeFill="background1" w:themeFillShade="D9"/>
            <w:vAlign w:val="center"/>
            <w:hideMark/>
          </w:tcPr>
          <w:p w14:paraId="0194900B" w14:textId="4EDD94F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30,2</w:t>
            </w:r>
          </w:p>
        </w:tc>
        <w:tc>
          <w:tcPr>
            <w:tcW w:w="339" w:type="pct"/>
            <w:shd w:val="clear" w:color="auto" w:fill="auto"/>
            <w:vAlign w:val="center"/>
            <w:hideMark/>
          </w:tcPr>
          <w:p w14:paraId="3B669F82" w14:textId="5433AE3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30,5</w:t>
            </w:r>
          </w:p>
        </w:tc>
        <w:tc>
          <w:tcPr>
            <w:tcW w:w="339" w:type="pct"/>
            <w:shd w:val="clear" w:color="auto" w:fill="D9D9D9" w:themeFill="background1" w:themeFillShade="D9"/>
            <w:vAlign w:val="center"/>
            <w:hideMark/>
          </w:tcPr>
          <w:p w14:paraId="6B0209D4" w14:textId="2A3D97F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30,7</w:t>
            </w:r>
          </w:p>
        </w:tc>
        <w:tc>
          <w:tcPr>
            <w:tcW w:w="339" w:type="pct"/>
            <w:shd w:val="clear" w:color="auto" w:fill="auto"/>
            <w:vAlign w:val="center"/>
            <w:hideMark/>
          </w:tcPr>
          <w:p w14:paraId="483FF9E2" w14:textId="33D271F0"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30,9</w:t>
            </w:r>
          </w:p>
        </w:tc>
        <w:tc>
          <w:tcPr>
            <w:tcW w:w="339" w:type="pct"/>
            <w:shd w:val="clear" w:color="auto" w:fill="D9D9D9" w:themeFill="background1" w:themeFillShade="D9"/>
            <w:vAlign w:val="center"/>
            <w:hideMark/>
          </w:tcPr>
          <w:p w14:paraId="59623448" w14:textId="167D6F7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31,1</w:t>
            </w:r>
          </w:p>
        </w:tc>
        <w:tc>
          <w:tcPr>
            <w:tcW w:w="339" w:type="pct"/>
            <w:shd w:val="clear" w:color="auto" w:fill="auto"/>
            <w:vAlign w:val="center"/>
            <w:hideMark/>
          </w:tcPr>
          <w:p w14:paraId="277C9E8D" w14:textId="1989C81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31,3</w:t>
            </w:r>
          </w:p>
        </w:tc>
        <w:tc>
          <w:tcPr>
            <w:tcW w:w="339" w:type="pct"/>
            <w:shd w:val="clear" w:color="auto" w:fill="D9D9D9" w:themeFill="background1" w:themeFillShade="D9"/>
            <w:vAlign w:val="center"/>
            <w:hideMark/>
          </w:tcPr>
          <w:p w14:paraId="72DB4C61" w14:textId="626CE89F"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31,5</w:t>
            </w:r>
          </w:p>
        </w:tc>
        <w:tc>
          <w:tcPr>
            <w:tcW w:w="339" w:type="pct"/>
            <w:shd w:val="clear" w:color="auto" w:fill="auto"/>
            <w:vAlign w:val="center"/>
            <w:hideMark/>
          </w:tcPr>
          <w:p w14:paraId="620E182D" w14:textId="354FC8A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31,7</w:t>
            </w:r>
          </w:p>
        </w:tc>
        <w:tc>
          <w:tcPr>
            <w:tcW w:w="303" w:type="pct"/>
            <w:shd w:val="clear" w:color="auto" w:fill="D9D9D9" w:themeFill="background1" w:themeFillShade="D9"/>
            <w:vAlign w:val="center"/>
            <w:hideMark/>
          </w:tcPr>
          <w:p w14:paraId="51C268C3" w14:textId="2B7E68B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32,0</w:t>
            </w:r>
          </w:p>
        </w:tc>
        <w:tc>
          <w:tcPr>
            <w:tcW w:w="339" w:type="pct"/>
            <w:shd w:val="clear" w:color="auto" w:fill="auto"/>
            <w:vAlign w:val="center"/>
          </w:tcPr>
          <w:p w14:paraId="17846BB6" w14:textId="1EF39CC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32,1</w:t>
            </w:r>
          </w:p>
        </w:tc>
        <w:tc>
          <w:tcPr>
            <w:tcW w:w="339" w:type="pct"/>
            <w:shd w:val="clear" w:color="auto" w:fill="D9D9D9" w:themeFill="background1" w:themeFillShade="D9"/>
          </w:tcPr>
          <w:p w14:paraId="637B63DC" w14:textId="5D92386F"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32,5</w:t>
            </w:r>
          </w:p>
        </w:tc>
      </w:tr>
      <w:tr w:rsidR="00394962" w:rsidRPr="00F500D2" w14:paraId="0188EF1C" w14:textId="1E54A558" w:rsidTr="00394962">
        <w:trPr>
          <w:trHeight w:val="227"/>
        </w:trPr>
        <w:tc>
          <w:tcPr>
            <w:tcW w:w="1312" w:type="pct"/>
            <w:shd w:val="clear" w:color="auto" w:fill="auto"/>
            <w:vAlign w:val="bottom"/>
            <w:hideMark/>
          </w:tcPr>
          <w:p w14:paraId="0AA09EB4" w14:textId="5EDE4B82"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 matrimoni civili</w:t>
            </w:r>
          </w:p>
        </w:tc>
        <w:tc>
          <w:tcPr>
            <w:tcW w:w="339" w:type="pct"/>
            <w:shd w:val="clear" w:color="auto" w:fill="D9D9D9" w:themeFill="background1" w:themeFillShade="D9"/>
            <w:vAlign w:val="center"/>
            <w:hideMark/>
          </w:tcPr>
          <w:p w14:paraId="4EF50F0B" w14:textId="4117673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41,0</w:t>
            </w:r>
          </w:p>
        </w:tc>
        <w:tc>
          <w:tcPr>
            <w:tcW w:w="339" w:type="pct"/>
            <w:shd w:val="clear" w:color="auto" w:fill="auto"/>
            <w:vAlign w:val="center"/>
            <w:hideMark/>
          </w:tcPr>
          <w:p w14:paraId="2A4F06EB" w14:textId="405F5F9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42,5</w:t>
            </w:r>
          </w:p>
        </w:tc>
        <w:tc>
          <w:tcPr>
            <w:tcW w:w="339" w:type="pct"/>
            <w:shd w:val="clear" w:color="auto" w:fill="D9D9D9" w:themeFill="background1" w:themeFillShade="D9"/>
            <w:vAlign w:val="center"/>
            <w:hideMark/>
          </w:tcPr>
          <w:p w14:paraId="34C92AC1" w14:textId="18CB040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43,1</w:t>
            </w:r>
          </w:p>
        </w:tc>
        <w:tc>
          <w:tcPr>
            <w:tcW w:w="339" w:type="pct"/>
            <w:shd w:val="clear" w:color="auto" w:fill="auto"/>
            <w:vAlign w:val="center"/>
            <w:hideMark/>
          </w:tcPr>
          <w:p w14:paraId="247A0F99" w14:textId="4075DBC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45,3</w:t>
            </w:r>
          </w:p>
        </w:tc>
        <w:tc>
          <w:tcPr>
            <w:tcW w:w="339" w:type="pct"/>
            <w:shd w:val="clear" w:color="auto" w:fill="D9D9D9" w:themeFill="background1" w:themeFillShade="D9"/>
            <w:vAlign w:val="center"/>
            <w:hideMark/>
          </w:tcPr>
          <w:p w14:paraId="79B5201E" w14:textId="769442F0"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46,9</w:t>
            </w:r>
          </w:p>
        </w:tc>
        <w:tc>
          <w:tcPr>
            <w:tcW w:w="339" w:type="pct"/>
            <w:shd w:val="clear" w:color="auto" w:fill="auto"/>
            <w:vAlign w:val="center"/>
            <w:hideMark/>
          </w:tcPr>
          <w:p w14:paraId="349E204D" w14:textId="0BDFB00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49,5</w:t>
            </w:r>
          </w:p>
        </w:tc>
        <w:tc>
          <w:tcPr>
            <w:tcW w:w="339" w:type="pct"/>
            <w:shd w:val="clear" w:color="auto" w:fill="D9D9D9" w:themeFill="background1" w:themeFillShade="D9"/>
            <w:vAlign w:val="center"/>
            <w:hideMark/>
          </w:tcPr>
          <w:p w14:paraId="3149F820" w14:textId="4467BB9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50,1</w:t>
            </w:r>
          </w:p>
        </w:tc>
        <w:tc>
          <w:tcPr>
            <w:tcW w:w="339" w:type="pct"/>
            <w:shd w:val="clear" w:color="auto" w:fill="auto"/>
            <w:vAlign w:val="center"/>
            <w:hideMark/>
          </w:tcPr>
          <w:p w14:paraId="7DC0A868" w14:textId="135B5F1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52,6</w:t>
            </w:r>
          </w:p>
        </w:tc>
        <w:tc>
          <w:tcPr>
            <w:tcW w:w="303" w:type="pct"/>
            <w:shd w:val="clear" w:color="auto" w:fill="D9D9D9" w:themeFill="background1" w:themeFillShade="D9"/>
            <w:vAlign w:val="center"/>
            <w:hideMark/>
          </w:tcPr>
          <w:p w14:paraId="6309943E" w14:textId="7F63293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71,1</w:t>
            </w:r>
          </w:p>
        </w:tc>
        <w:tc>
          <w:tcPr>
            <w:tcW w:w="339" w:type="pct"/>
            <w:shd w:val="clear" w:color="auto" w:fill="auto"/>
            <w:vAlign w:val="center"/>
          </w:tcPr>
          <w:p w14:paraId="76A7501D" w14:textId="6CF1136F"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54,1</w:t>
            </w:r>
          </w:p>
        </w:tc>
        <w:tc>
          <w:tcPr>
            <w:tcW w:w="339" w:type="pct"/>
            <w:shd w:val="clear" w:color="auto" w:fill="D9D9D9" w:themeFill="background1" w:themeFillShade="D9"/>
          </w:tcPr>
          <w:p w14:paraId="5AAF9CC9" w14:textId="0AC1252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56,4</w:t>
            </w:r>
          </w:p>
        </w:tc>
      </w:tr>
      <w:tr w:rsidR="00394962" w:rsidRPr="00F500D2" w14:paraId="57CBB902" w14:textId="38D938E9" w:rsidTr="00394962">
        <w:trPr>
          <w:trHeight w:val="227"/>
        </w:trPr>
        <w:tc>
          <w:tcPr>
            <w:tcW w:w="1312" w:type="pct"/>
            <w:shd w:val="clear" w:color="auto" w:fill="auto"/>
            <w:vAlign w:val="bottom"/>
            <w:hideMark/>
          </w:tcPr>
          <w:p w14:paraId="7D49BDD0" w14:textId="68025BF0"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 primi matrimoni civili di italiani</w:t>
            </w:r>
          </w:p>
        </w:tc>
        <w:tc>
          <w:tcPr>
            <w:tcW w:w="339" w:type="pct"/>
            <w:shd w:val="clear" w:color="auto" w:fill="D9D9D9" w:themeFill="background1" w:themeFillShade="D9"/>
            <w:vAlign w:val="center"/>
            <w:hideMark/>
          </w:tcPr>
          <w:p w14:paraId="1103E10F" w14:textId="08BC1A5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24,5</w:t>
            </w:r>
          </w:p>
        </w:tc>
        <w:tc>
          <w:tcPr>
            <w:tcW w:w="339" w:type="pct"/>
            <w:shd w:val="clear" w:color="auto" w:fill="auto"/>
            <w:vAlign w:val="center"/>
            <w:hideMark/>
          </w:tcPr>
          <w:p w14:paraId="5CDDAB47" w14:textId="71B7076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26,7</w:t>
            </w:r>
          </w:p>
        </w:tc>
        <w:tc>
          <w:tcPr>
            <w:tcW w:w="339" w:type="pct"/>
            <w:shd w:val="clear" w:color="auto" w:fill="D9D9D9" w:themeFill="background1" w:themeFillShade="D9"/>
            <w:vAlign w:val="center"/>
            <w:hideMark/>
          </w:tcPr>
          <w:p w14:paraId="3F00B0CA" w14:textId="67699C4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27,0</w:t>
            </w:r>
          </w:p>
        </w:tc>
        <w:tc>
          <w:tcPr>
            <w:tcW w:w="339" w:type="pct"/>
            <w:shd w:val="clear" w:color="auto" w:fill="auto"/>
            <w:vAlign w:val="center"/>
            <w:hideMark/>
          </w:tcPr>
          <w:p w14:paraId="188B01BD" w14:textId="0856DEA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28,7</w:t>
            </w:r>
          </w:p>
        </w:tc>
        <w:tc>
          <w:tcPr>
            <w:tcW w:w="339" w:type="pct"/>
            <w:shd w:val="clear" w:color="auto" w:fill="D9D9D9" w:themeFill="background1" w:themeFillShade="D9"/>
            <w:vAlign w:val="center"/>
            <w:hideMark/>
          </w:tcPr>
          <w:p w14:paraId="27CE66A9" w14:textId="6ABAF2A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29,9</w:t>
            </w:r>
          </w:p>
        </w:tc>
        <w:tc>
          <w:tcPr>
            <w:tcW w:w="339" w:type="pct"/>
            <w:shd w:val="clear" w:color="auto" w:fill="auto"/>
            <w:vAlign w:val="center"/>
            <w:hideMark/>
          </w:tcPr>
          <w:p w14:paraId="3445214F" w14:textId="1C68DB3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30,9</w:t>
            </w:r>
          </w:p>
        </w:tc>
        <w:tc>
          <w:tcPr>
            <w:tcW w:w="339" w:type="pct"/>
            <w:shd w:val="clear" w:color="auto" w:fill="D9D9D9" w:themeFill="background1" w:themeFillShade="D9"/>
            <w:vAlign w:val="center"/>
            <w:hideMark/>
          </w:tcPr>
          <w:p w14:paraId="5B1BAB37" w14:textId="19BF3B4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31,3</w:t>
            </w:r>
          </w:p>
        </w:tc>
        <w:tc>
          <w:tcPr>
            <w:tcW w:w="339" w:type="pct"/>
            <w:shd w:val="clear" w:color="auto" w:fill="auto"/>
            <w:vAlign w:val="center"/>
            <w:hideMark/>
          </w:tcPr>
          <w:p w14:paraId="4F843CD0" w14:textId="3F53470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33,4</w:t>
            </w:r>
          </w:p>
        </w:tc>
        <w:tc>
          <w:tcPr>
            <w:tcW w:w="303" w:type="pct"/>
            <w:shd w:val="clear" w:color="auto" w:fill="D9D9D9" w:themeFill="background1" w:themeFillShade="D9"/>
            <w:vAlign w:val="center"/>
            <w:hideMark/>
          </w:tcPr>
          <w:p w14:paraId="1F1DDD9E" w14:textId="29ACEA3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54,6</w:t>
            </w:r>
          </w:p>
        </w:tc>
        <w:tc>
          <w:tcPr>
            <w:tcW w:w="339" w:type="pct"/>
            <w:shd w:val="clear" w:color="auto" w:fill="auto"/>
            <w:vAlign w:val="center"/>
          </w:tcPr>
          <w:p w14:paraId="5F2E17DC" w14:textId="0065567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37,5</w:t>
            </w:r>
          </w:p>
        </w:tc>
        <w:tc>
          <w:tcPr>
            <w:tcW w:w="339" w:type="pct"/>
            <w:shd w:val="clear" w:color="auto" w:fill="D9D9D9" w:themeFill="background1" w:themeFillShade="D9"/>
          </w:tcPr>
          <w:p w14:paraId="1851217A" w14:textId="335E8C0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38,7</w:t>
            </w:r>
          </w:p>
        </w:tc>
      </w:tr>
      <w:tr w:rsidR="00394962" w:rsidRPr="00F500D2" w14:paraId="25C314B5" w14:textId="577D0080" w:rsidTr="00394962">
        <w:trPr>
          <w:trHeight w:val="227"/>
        </w:trPr>
        <w:tc>
          <w:tcPr>
            <w:tcW w:w="1312" w:type="pct"/>
            <w:shd w:val="clear" w:color="auto" w:fill="auto"/>
            <w:vAlign w:val="bottom"/>
            <w:hideMark/>
          </w:tcPr>
          <w:p w14:paraId="3D856DEC" w14:textId="7AEBA980" w:rsidR="00313FE3" w:rsidRPr="00394962" w:rsidRDefault="00313FE3" w:rsidP="00394962">
            <w:pPr>
              <w:spacing w:before="40" w:after="20"/>
              <w:ind w:left="-105" w:right="-129" w:firstLine="105"/>
              <w:rPr>
                <w:rFonts w:ascii="Arial Narrow" w:hAnsi="Arial Narrow"/>
                <w:color w:val="1F497D"/>
                <w:sz w:val="15"/>
                <w:szCs w:val="15"/>
              </w:rPr>
            </w:pPr>
            <w:r w:rsidRPr="00394962">
              <w:rPr>
                <w:rFonts w:ascii="Arial Narrow" w:hAnsi="Arial Narrow"/>
                <w:color w:val="1F497D"/>
                <w:sz w:val="15"/>
                <w:szCs w:val="15"/>
              </w:rPr>
              <w:t>Matrim</w:t>
            </w:r>
            <w:r w:rsidR="00394962">
              <w:rPr>
                <w:rFonts w:ascii="Arial Narrow" w:hAnsi="Arial Narrow"/>
                <w:color w:val="1F497D"/>
                <w:sz w:val="15"/>
                <w:szCs w:val="15"/>
              </w:rPr>
              <w:t>oni di stranieri con almeno un r</w:t>
            </w:r>
            <w:r w:rsidRPr="00394962">
              <w:rPr>
                <w:rFonts w:ascii="Arial Narrow" w:hAnsi="Arial Narrow"/>
                <w:color w:val="1F497D"/>
                <w:sz w:val="15"/>
                <w:szCs w:val="15"/>
              </w:rPr>
              <w:t>esidente</w:t>
            </w:r>
          </w:p>
        </w:tc>
        <w:tc>
          <w:tcPr>
            <w:tcW w:w="339" w:type="pct"/>
            <w:shd w:val="clear" w:color="auto" w:fill="D9D9D9" w:themeFill="background1" w:themeFillShade="D9"/>
            <w:vAlign w:val="center"/>
            <w:hideMark/>
          </w:tcPr>
          <w:p w14:paraId="42D6DBAA" w14:textId="4328515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5.610</w:t>
            </w:r>
          </w:p>
        </w:tc>
        <w:tc>
          <w:tcPr>
            <w:tcW w:w="339" w:type="pct"/>
            <w:shd w:val="clear" w:color="auto" w:fill="auto"/>
            <w:vAlign w:val="center"/>
            <w:hideMark/>
          </w:tcPr>
          <w:p w14:paraId="47B5D5EF" w14:textId="432E7E0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4.516</w:t>
            </w:r>
          </w:p>
        </w:tc>
        <w:tc>
          <w:tcPr>
            <w:tcW w:w="339" w:type="pct"/>
            <w:shd w:val="clear" w:color="auto" w:fill="D9D9D9" w:themeFill="background1" w:themeFillShade="D9"/>
            <w:vAlign w:val="center"/>
            <w:hideMark/>
          </w:tcPr>
          <w:p w14:paraId="25DD0F1D" w14:textId="21E1DB5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4.195</w:t>
            </w:r>
          </w:p>
        </w:tc>
        <w:tc>
          <w:tcPr>
            <w:tcW w:w="339" w:type="pct"/>
            <w:shd w:val="clear" w:color="auto" w:fill="auto"/>
            <w:vAlign w:val="center"/>
            <w:hideMark/>
          </w:tcPr>
          <w:p w14:paraId="2C99847B" w14:textId="2314676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4.165</w:t>
            </w:r>
          </w:p>
        </w:tc>
        <w:tc>
          <w:tcPr>
            <w:tcW w:w="339" w:type="pct"/>
            <w:shd w:val="clear" w:color="auto" w:fill="D9D9D9" w:themeFill="background1" w:themeFillShade="D9"/>
            <w:vAlign w:val="center"/>
            <w:hideMark/>
          </w:tcPr>
          <w:p w14:paraId="187C3E53" w14:textId="770FBA9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4.074</w:t>
            </w:r>
          </w:p>
        </w:tc>
        <w:tc>
          <w:tcPr>
            <w:tcW w:w="339" w:type="pct"/>
            <w:shd w:val="clear" w:color="auto" w:fill="auto"/>
            <w:vAlign w:val="center"/>
            <w:hideMark/>
          </w:tcPr>
          <w:p w14:paraId="716FAF3F" w14:textId="2063433F"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4.890</w:t>
            </w:r>
          </w:p>
        </w:tc>
        <w:tc>
          <w:tcPr>
            <w:tcW w:w="339" w:type="pct"/>
            <w:shd w:val="clear" w:color="auto" w:fill="D9D9D9" w:themeFill="background1" w:themeFillShade="D9"/>
            <w:vAlign w:val="center"/>
            <w:hideMark/>
          </w:tcPr>
          <w:p w14:paraId="64A2ED75" w14:textId="734E1DA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5.451</w:t>
            </w:r>
          </w:p>
        </w:tc>
        <w:tc>
          <w:tcPr>
            <w:tcW w:w="339" w:type="pct"/>
            <w:shd w:val="clear" w:color="auto" w:fill="auto"/>
            <w:vAlign w:val="center"/>
            <w:hideMark/>
          </w:tcPr>
          <w:p w14:paraId="597C9F28" w14:textId="4FD16C4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5.924</w:t>
            </w:r>
          </w:p>
        </w:tc>
        <w:tc>
          <w:tcPr>
            <w:tcW w:w="303" w:type="pct"/>
            <w:shd w:val="clear" w:color="auto" w:fill="D9D9D9" w:themeFill="background1" w:themeFillShade="D9"/>
            <w:vAlign w:val="center"/>
            <w:hideMark/>
          </w:tcPr>
          <w:p w14:paraId="1CF2B2D3" w14:textId="2871001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3.591</w:t>
            </w:r>
          </w:p>
        </w:tc>
        <w:tc>
          <w:tcPr>
            <w:tcW w:w="339" w:type="pct"/>
            <w:shd w:val="clear" w:color="auto" w:fill="auto"/>
            <w:vAlign w:val="center"/>
          </w:tcPr>
          <w:p w14:paraId="3484150E" w14:textId="2DC1248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4.508</w:t>
            </w:r>
          </w:p>
        </w:tc>
        <w:tc>
          <w:tcPr>
            <w:tcW w:w="339" w:type="pct"/>
            <w:shd w:val="clear" w:color="auto" w:fill="D9D9D9" w:themeFill="background1" w:themeFillShade="D9"/>
          </w:tcPr>
          <w:p w14:paraId="2BF4EDD1" w14:textId="040C68C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5.142</w:t>
            </w:r>
          </w:p>
        </w:tc>
      </w:tr>
      <w:tr w:rsidR="00394962" w:rsidRPr="00F500D2" w14:paraId="29869757" w14:textId="3128D0A1" w:rsidTr="00394962">
        <w:trPr>
          <w:trHeight w:val="227"/>
        </w:trPr>
        <w:tc>
          <w:tcPr>
            <w:tcW w:w="1312" w:type="pct"/>
            <w:shd w:val="clear" w:color="auto" w:fill="auto"/>
            <w:vAlign w:val="bottom"/>
            <w:hideMark/>
          </w:tcPr>
          <w:p w14:paraId="47FE253E"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Unioni civili</w:t>
            </w:r>
          </w:p>
        </w:tc>
        <w:tc>
          <w:tcPr>
            <w:tcW w:w="339" w:type="pct"/>
            <w:shd w:val="clear" w:color="auto" w:fill="D9D9D9" w:themeFill="background1" w:themeFillShade="D9"/>
            <w:vAlign w:val="center"/>
            <w:hideMark/>
          </w:tcPr>
          <w:p w14:paraId="7BE78BEB" w14:textId="642A303B"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 </w:t>
            </w:r>
          </w:p>
        </w:tc>
        <w:tc>
          <w:tcPr>
            <w:tcW w:w="339" w:type="pct"/>
            <w:shd w:val="clear" w:color="auto" w:fill="auto"/>
            <w:vAlign w:val="center"/>
            <w:hideMark/>
          </w:tcPr>
          <w:p w14:paraId="7CEFB2C0" w14:textId="45D9A01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 </w:t>
            </w:r>
          </w:p>
        </w:tc>
        <w:tc>
          <w:tcPr>
            <w:tcW w:w="339" w:type="pct"/>
            <w:shd w:val="clear" w:color="auto" w:fill="D9D9D9" w:themeFill="background1" w:themeFillShade="D9"/>
            <w:vAlign w:val="center"/>
            <w:hideMark/>
          </w:tcPr>
          <w:p w14:paraId="12A95DAC" w14:textId="2744B4D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 </w:t>
            </w:r>
          </w:p>
        </w:tc>
        <w:tc>
          <w:tcPr>
            <w:tcW w:w="339" w:type="pct"/>
            <w:shd w:val="clear" w:color="auto" w:fill="auto"/>
            <w:vAlign w:val="center"/>
            <w:hideMark/>
          </w:tcPr>
          <w:p w14:paraId="067B54F2" w14:textId="6E79791B"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 </w:t>
            </w:r>
          </w:p>
        </w:tc>
        <w:tc>
          <w:tcPr>
            <w:tcW w:w="339" w:type="pct"/>
            <w:shd w:val="clear" w:color="auto" w:fill="D9D9D9" w:themeFill="background1" w:themeFillShade="D9"/>
            <w:vAlign w:val="center"/>
            <w:hideMark/>
          </w:tcPr>
          <w:p w14:paraId="44768A00" w14:textId="2926542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 </w:t>
            </w:r>
          </w:p>
        </w:tc>
        <w:tc>
          <w:tcPr>
            <w:tcW w:w="339" w:type="pct"/>
            <w:shd w:val="clear" w:color="auto" w:fill="auto"/>
            <w:vAlign w:val="center"/>
            <w:hideMark/>
          </w:tcPr>
          <w:p w14:paraId="129903C9" w14:textId="75BD3FD9"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 4.376</w:t>
            </w:r>
          </w:p>
        </w:tc>
        <w:tc>
          <w:tcPr>
            <w:tcW w:w="339" w:type="pct"/>
            <w:shd w:val="clear" w:color="auto" w:fill="D9D9D9" w:themeFill="background1" w:themeFillShade="D9"/>
            <w:vAlign w:val="center"/>
            <w:hideMark/>
          </w:tcPr>
          <w:p w14:paraId="1332EB12" w14:textId="641BEDB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2.808</w:t>
            </w:r>
          </w:p>
        </w:tc>
        <w:tc>
          <w:tcPr>
            <w:tcW w:w="339" w:type="pct"/>
            <w:shd w:val="clear" w:color="auto" w:fill="auto"/>
            <w:vAlign w:val="center"/>
            <w:hideMark/>
          </w:tcPr>
          <w:p w14:paraId="2370DC18" w14:textId="799251A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2.297</w:t>
            </w:r>
          </w:p>
        </w:tc>
        <w:tc>
          <w:tcPr>
            <w:tcW w:w="303" w:type="pct"/>
            <w:shd w:val="clear" w:color="auto" w:fill="D9D9D9" w:themeFill="background1" w:themeFillShade="D9"/>
            <w:vAlign w:val="center"/>
            <w:hideMark/>
          </w:tcPr>
          <w:p w14:paraId="3BB8544B" w14:textId="1F9817F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1.539</w:t>
            </w:r>
          </w:p>
        </w:tc>
        <w:tc>
          <w:tcPr>
            <w:tcW w:w="339" w:type="pct"/>
            <w:shd w:val="clear" w:color="auto" w:fill="auto"/>
            <w:vAlign w:val="center"/>
          </w:tcPr>
          <w:p w14:paraId="0ECBBEC9" w14:textId="3B6936BB"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2.148</w:t>
            </w:r>
          </w:p>
        </w:tc>
        <w:tc>
          <w:tcPr>
            <w:tcW w:w="339" w:type="pct"/>
            <w:shd w:val="clear" w:color="auto" w:fill="D9D9D9" w:themeFill="background1" w:themeFillShade="D9"/>
          </w:tcPr>
          <w:p w14:paraId="2E5E0D3A" w14:textId="360BC552"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2.813</w:t>
            </w:r>
          </w:p>
        </w:tc>
      </w:tr>
      <w:tr w:rsidR="00394962" w:rsidRPr="00F500D2" w14:paraId="09C61DAC" w14:textId="5F4B09AB" w:rsidTr="00394962">
        <w:trPr>
          <w:trHeight w:val="227"/>
        </w:trPr>
        <w:tc>
          <w:tcPr>
            <w:tcW w:w="1312" w:type="pct"/>
            <w:shd w:val="clear" w:color="auto" w:fill="auto"/>
            <w:vAlign w:val="bottom"/>
            <w:hideMark/>
          </w:tcPr>
          <w:p w14:paraId="2B68B322"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Separazioni totali</w:t>
            </w:r>
          </w:p>
        </w:tc>
        <w:tc>
          <w:tcPr>
            <w:tcW w:w="339" w:type="pct"/>
            <w:shd w:val="clear" w:color="auto" w:fill="D9D9D9" w:themeFill="background1" w:themeFillShade="D9"/>
            <w:vAlign w:val="center"/>
            <w:hideMark/>
          </w:tcPr>
          <w:p w14:paraId="6AACE09D" w14:textId="2526F728"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88.288</w:t>
            </w:r>
          </w:p>
        </w:tc>
        <w:tc>
          <w:tcPr>
            <w:tcW w:w="339" w:type="pct"/>
            <w:shd w:val="clear" w:color="auto" w:fill="auto"/>
            <w:vAlign w:val="center"/>
            <w:hideMark/>
          </w:tcPr>
          <w:p w14:paraId="0531C8E5" w14:textId="7475468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88.886</w:t>
            </w:r>
          </w:p>
        </w:tc>
        <w:tc>
          <w:tcPr>
            <w:tcW w:w="339" w:type="pct"/>
            <w:shd w:val="clear" w:color="auto" w:fill="D9D9D9" w:themeFill="background1" w:themeFillShade="D9"/>
            <w:vAlign w:val="center"/>
            <w:hideMark/>
          </w:tcPr>
          <w:p w14:paraId="61F4B535" w14:textId="0921595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89.303</w:t>
            </w:r>
          </w:p>
        </w:tc>
        <w:tc>
          <w:tcPr>
            <w:tcW w:w="339" w:type="pct"/>
            <w:shd w:val="clear" w:color="auto" w:fill="auto"/>
            <w:vAlign w:val="center"/>
            <w:hideMark/>
          </w:tcPr>
          <w:p w14:paraId="03D89F0E" w14:textId="19838C62"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91.706</w:t>
            </w:r>
          </w:p>
        </w:tc>
        <w:tc>
          <w:tcPr>
            <w:tcW w:w="339" w:type="pct"/>
            <w:shd w:val="clear" w:color="auto" w:fill="D9D9D9" w:themeFill="background1" w:themeFillShade="D9"/>
            <w:vAlign w:val="center"/>
            <w:hideMark/>
          </w:tcPr>
          <w:p w14:paraId="285A85AC" w14:textId="2316E8E0"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99.611</w:t>
            </w:r>
          </w:p>
        </w:tc>
        <w:tc>
          <w:tcPr>
            <w:tcW w:w="339" w:type="pct"/>
            <w:shd w:val="clear" w:color="auto" w:fill="auto"/>
            <w:vAlign w:val="center"/>
            <w:hideMark/>
          </w:tcPr>
          <w:p w14:paraId="33C6EA0E" w14:textId="68976A8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98.461</w:t>
            </w:r>
          </w:p>
        </w:tc>
        <w:tc>
          <w:tcPr>
            <w:tcW w:w="339" w:type="pct"/>
            <w:shd w:val="clear" w:color="auto" w:fill="D9D9D9" w:themeFill="background1" w:themeFillShade="D9"/>
            <w:vAlign w:val="center"/>
            <w:hideMark/>
          </w:tcPr>
          <w:p w14:paraId="710DFB5E" w14:textId="46AF125D"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98.925</w:t>
            </w:r>
          </w:p>
        </w:tc>
        <w:tc>
          <w:tcPr>
            <w:tcW w:w="339" w:type="pct"/>
            <w:shd w:val="clear" w:color="auto" w:fill="auto"/>
            <w:vAlign w:val="center"/>
            <w:hideMark/>
          </w:tcPr>
          <w:p w14:paraId="40712EA6" w14:textId="1E01757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97.474</w:t>
            </w:r>
          </w:p>
        </w:tc>
        <w:tc>
          <w:tcPr>
            <w:tcW w:w="303" w:type="pct"/>
            <w:shd w:val="clear" w:color="auto" w:fill="D9D9D9" w:themeFill="background1" w:themeFillShade="D9"/>
            <w:vAlign w:val="center"/>
            <w:hideMark/>
          </w:tcPr>
          <w:p w14:paraId="5117668D" w14:textId="4BEEFBC1"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79.917</w:t>
            </w:r>
          </w:p>
        </w:tc>
        <w:tc>
          <w:tcPr>
            <w:tcW w:w="339" w:type="pct"/>
            <w:shd w:val="clear" w:color="auto" w:fill="auto"/>
            <w:vAlign w:val="center"/>
          </w:tcPr>
          <w:p w14:paraId="2179E1E7" w14:textId="7E6033E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97.913</w:t>
            </w:r>
          </w:p>
        </w:tc>
        <w:tc>
          <w:tcPr>
            <w:tcW w:w="339" w:type="pct"/>
            <w:shd w:val="clear" w:color="auto" w:fill="D9D9D9" w:themeFill="background1" w:themeFillShade="D9"/>
          </w:tcPr>
          <w:p w14:paraId="2C1BB3E8" w14:textId="4647774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89.907</w:t>
            </w:r>
          </w:p>
        </w:tc>
      </w:tr>
      <w:tr w:rsidR="00394962" w:rsidRPr="00F500D2" w14:paraId="05483D3A" w14:textId="1FE6D00E" w:rsidTr="00394962">
        <w:trPr>
          <w:trHeight w:val="227"/>
        </w:trPr>
        <w:tc>
          <w:tcPr>
            <w:tcW w:w="1312" w:type="pct"/>
            <w:shd w:val="clear" w:color="auto" w:fill="auto"/>
            <w:vAlign w:val="bottom"/>
            <w:hideMark/>
          </w:tcPr>
          <w:p w14:paraId="496178ED" w14:textId="77777777" w:rsidR="00313FE3" w:rsidRPr="00394962" w:rsidRDefault="00313FE3" w:rsidP="00394962">
            <w:pPr>
              <w:spacing w:before="40" w:after="20"/>
              <w:ind w:left="-105" w:firstLine="105"/>
              <w:rPr>
                <w:rFonts w:ascii="Arial Narrow" w:hAnsi="Arial Narrow"/>
                <w:color w:val="1F497D"/>
                <w:sz w:val="15"/>
                <w:szCs w:val="15"/>
              </w:rPr>
            </w:pPr>
            <w:r w:rsidRPr="00394962">
              <w:rPr>
                <w:rFonts w:ascii="Arial Narrow" w:hAnsi="Arial Narrow"/>
                <w:color w:val="1F497D"/>
                <w:sz w:val="15"/>
                <w:szCs w:val="15"/>
              </w:rPr>
              <w:t>Divorzi totali</w:t>
            </w:r>
          </w:p>
        </w:tc>
        <w:tc>
          <w:tcPr>
            <w:tcW w:w="339" w:type="pct"/>
            <w:shd w:val="clear" w:color="auto" w:fill="D9D9D9" w:themeFill="background1" w:themeFillShade="D9"/>
            <w:vAlign w:val="center"/>
            <w:hideMark/>
          </w:tcPr>
          <w:p w14:paraId="3B68EEBF" w14:textId="438BBF13"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51.319</w:t>
            </w:r>
          </w:p>
        </w:tc>
        <w:tc>
          <w:tcPr>
            <w:tcW w:w="339" w:type="pct"/>
            <w:shd w:val="clear" w:color="auto" w:fill="auto"/>
            <w:vAlign w:val="center"/>
            <w:hideMark/>
          </w:tcPr>
          <w:p w14:paraId="439BD646" w14:textId="7B9479B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52.943</w:t>
            </w:r>
          </w:p>
        </w:tc>
        <w:tc>
          <w:tcPr>
            <w:tcW w:w="339" w:type="pct"/>
            <w:shd w:val="clear" w:color="auto" w:fill="D9D9D9" w:themeFill="background1" w:themeFillShade="D9"/>
            <w:vAlign w:val="center"/>
            <w:hideMark/>
          </w:tcPr>
          <w:p w14:paraId="4C7820CF" w14:textId="6519A47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52.355</w:t>
            </w:r>
          </w:p>
        </w:tc>
        <w:tc>
          <w:tcPr>
            <w:tcW w:w="339" w:type="pct"/>
            <w:shd w:val="clear" w:color="auto" w:fill="auto"/>
            <w:vAlign w:val="center"/>
            <w:hideMark/>
          </w:tcPr>
          <w:p w14:paraId="378F75D3" w14:textId="5BA7F1E6"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82.469</w:t>
            </w:r>
          </w:p>
        </w:tc>
        <w:tc>
          <w:tcPr>
            <w:tcW w:w="339" w:type="pct"/>
            <w:shd w:val="clear" w:color="auto" w:fill="D9D9D9" w:themeFill="background1" w:themeFillShade="D9"/>
            <w:vAlign w:val="center"/>
            <w:hideMark/>
          </w:tcPr>
          <w:p w14:paraId="15A7E437" w14:textId="43F07C4E"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99.071</w:t>
            </w:r>
          </w:p>
        </w:tc>
        <w:tc>
          <w:tcPr>
            <w:tcW w:w="339" w:type="pct"/>
            <w:shd w:val="clear" w:color="auto" w:fill="auto"/>
            <w:vAlign w:val="center"/>
            <w:hideMark/>
          </w:tcPr>
          <w:p w14:paraId="64EACD2C" w14:textId="7C89C887"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91.629</w:t>
            </w:r>
          </w:p>
        </w:tc>
        <w:tc>
          <w:tcPr>
            <w:tcW w:w="339" w:type="pct"/>
            <w:shd w:val="clear" w:color="auto" w:fill="D9D9D9" w:themeFill="background1" w:themeFillShade="D9"/>
            <w:vAlign w:val="center"/>
            <w:hideMark/>
          </w:tcPr>
          <w:p w14:paraId="1ECDFDDC" w14:textId="1DD1F8DC"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88.458</w:t>
            </w:r>
          </w:p>
        </w:tc>
        <w:tc>
          <w:tcPr>
            <w:tcW w:w="339" w:type="pct"/>
            <w:shd w:val="clear" w:color="auto" w:fill="auto"/>
            <w:vAlign w:val="center"/>
            <w:hideMark/>
          </w:tcPr>
          <w:p w14:paraId="5F909179" w14:textId="3B0E2EF0"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85.349</w:t>
            </w:r>
          </w:p>
        </w:tc>
        <w:tc>
          <w:tcPr>
            <w:tcW w:w="303" w:type="pct"/>
            <w:shd w:val="clear" w:color="auto" w:fill="D9D9D9" w:themeFill="background1" w:themeFillShade="D9"/>
            <w:vAlign w:val="center"/>
            <w:hideMark/>
          </w:tcPr>
          <w:p w14:paraId="4829C3C5" w14:textId="636F0322"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66.662</w:t>
            </w:r>
          </w:p>
        </w:tc>
        <w:tc>
          <w:tcPr>
            <w:tcW w:w="339" w:type="pct"/>
            <w:shd w:val="clear" w:color="auto" w:fill="auto"/>
            <w:vAlign w:val="center"/>
          </w:tcPr>
          <w:p w14:paraId="28963706" w14:textId="644C1044"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83.192</w:t>
            </w:r>
          </w:p>
        </w:tc>
        <w:tc>
          <w:tcPr>
            <w:tcW w:w="339" w:type="pct"/>
            <w:shd w:val="clear" w:color="auto" w:fill="D9D9D9" w:themeFill="background1" w:themeFillShade="D9"/>
          </w:tcPr>
          <w:p w14:paraId="2F0EA40E" w14:textId="1AC81695" w:rsidR="00313FE3" w:rsidRPr="004A41BC" w:rsidRDefault="00313FE3" w:rsidP="00313FE3">
            <w:pPr>
              <w:spacing w:before="40" w:after="20"/>
              <w:jc w:val="right"/>
              <w:rPr>
                <w:rFonts w:ascii="Arial Narrow" w:hAnsi="Arial Narrow"/>
                <w:color w:val="404040" w:themeColor="text1" w:themeTint="BF"/>
                <w:sz w:val="16"/>
                <w:szCs w:val="16"/>
              </w:rPr>
            </w:pPr>
            <w:r w:rsidRPr="004A41BC">
              <w:rPr>
                <w:rFonts w:ascii="Arial Narrow" w:hAnsi="Arial Narrow"/>
                <w:color w:val="404040" w:themeColor="text1" w:themeTint="BF"/>
                <w:sz w:val="16"/>
                <w:szCs w:val="16"/>
              </w:rPr>
              <w:t>82.596</w:t>
            </w:r>
          </w:p>
        </w:tc>
      </w:tr>
    </w:tbl>
    <w:p w14:paraId="7C739025" w14:textId="67B47631" w:rsidR="00495E20" w:rsidRPr="00BF34B6" w:rsidRDefault="00495E20" w:rsidP="00495E20">
      <w:pPr>
        <w:tabs>
          <w:tab w:val="left" w:pos="709"/>
        </w:tabs>
        <w:spacing w:after="120"/>
        <w:jc w:val="both"/>
        <w:outlineLvl w:val="0"/>
        <w:rPr>
          <w:rFonts w:ascii="Arial" w:hAnsi="Arial" w:cs="Arial"/>
          <w:bCs/>
          <w:color w:val="1F497D"/>
          <w:sz w:val="22"/>
          <w:szCs w:val="22"/>
        </w:rPr>
      </w:pPr>
    </w:p>
    <w:p w14:paraId="25811FA9" w14:textId="77777777" w:rsidR="005D4077" w:rsidRPr="005D4077" w:rsidRDefault="005D4077" w:rsidP="004A41BC">
      <w:pPr>
        <w:tabs>
          <w:tab w:val="left" w:pos="709"/>
        </w:tabs>
        <w:spacing w:before="120" w:after="120"/>
        <w:jc w:val="both"/>
        <w:outlineLvl w:val="0"/>
        <w:rPr>
          <w:rFonts w:ascii="Arial" w:hAnsi="Arial" w:cs="Arial"/>
          <w:bCs/>
          <w:color w:val="1F497D"/>
          <w:sz w:val="22"/>
          <w:szCs w:val="22"/>
        </w:rPr>
      </w:pPr>
    </w:p>
    <w:p w14:paraId="3051B266" w14:textId="1E57B32A" w:rsidR="002374DD" w:rsidRPr="00CE7450" w:rsidRDefault="00CE7450" w:rsidP="004A41BC">
      <w:pPr>
        <w:tabs>
          <w:tab w:val="left" w:pos="709"/>
        </w:tabs>
        <w:spacing w:before="120" w:after="120"/>
        <w:jc w:val="both"/>
        <w:outlineLvl w:val="0"/>
        <w:rPr>
          <w:rFonts w:ascii="Arial" w:hAnsi="Arial" w:cs="Arial"/>
          <w:b/>
          <w:color w:val="1F497D"/>
          <w:sz w:val="26"/>
          <w:szCs w:val="26"/>
        </w:rPr>
      </w:pPr>
      <w:r w:rsidRPr="00CE7450">
        <w:rPr>
          <w:rFonts w:ascii="Arial" w:hAnsi="Arial" w:cs="Arial"/>
          <w:b/>
          <w:color w:val="1F497D"/>
          <w:sz w:val="26"/>
          <w:szCs w:val="26"/>
        </w:rPr>
        <w:t>Aumentano in maniera decisa</w:t>
      </w:r>
      <w:r w:rsidR="00360FC4" w:rsidRPr="00CE7450">
        <w:rPr>
          <w:rFonts w:ascii="Arial" w:hAnsi="Arial" w:cs="Arial"/>
          <w:b/>
          <w:color w:val="1F497D"/>
          <w:sz w:val="26"/>
          <w:szCs w:val="26"/>
        </w:rPr>
        <w:t xml:space="preserve"> le seconde nozze</w:t>
      </w:r>
    </w:p>
    <w:p w14:paraId="2035A4F0" w14:textId="74589F6B" w:rsidR="00C955A5" w:rsidRDefault="002374DD" w:rsidP="00495E20">
      <w:pPr>
        <w:pStyle w:val="RAtesto"/>
        <w:spacing w:line="240" w:lineRule="auto"/>
        <w:rPr>
          <w:rFonts w:ascii="Arial" w:hAnsi="Arial"/>
          <w:sz w:val="22"/>
          <w:szCs w:val="22"/>
        </w:rPr>
      </w:pPr>
      <w:r w:rsidRPr="00CD0A01">
        <w:rPr>
          <w:rFonts w:ascii="Arial" w:hAnsi="Arial"/>
          <w:sz w:val="22"/>
          <w:szCs w:val="22"/>
        </w:rPr>
        <w:t xml:space="preserve">L’aumento dell’instabilità coniugale contribuisce alla diffusione delle seconde nozze e delle famiglie composte da almeno una persona che abbia vissuto una precedente esperienza matrimoniale, </w:t>
      </w:r>
      <w:r w:rsidR="003C505C" w:rsidRPr="00CD0A01">
        <w:rPr>
          <w:rFonts w:ascii="Arial" w:hAnsi="Arial"/>
          <w:sz w:val="22"/>
          <w:szCs w:val="22"/>
        </w:rPr>
        <w:t xml:space="preserve">fenomeno che </w:t>
      </w:r>
      <w:r w:rsidRPr="00CD0A01">
        <w:rPr>
          <w:rFonts w:ascii="Arial" w:hAnsi="Arial"/>
          <w:sz w:val="22"/>
          <w:szCs w:val="22"/>
        </w:rPr>
        <w:t>genera</w:t>
      </w:r>
      <w:r w:rsidR="00BA3DC6" w:rsidRPr="00CD0A01">
        <w:rPr>
          <w:rFonts w:ascii="Arial" w:hAnsi="Arial"/>
          <w:sz w:val="22"/>
          <w:szCs w:val="22"/>
        </w:rPr>
        <w:t xml:space="preserve"> </w:t>
      </w:r>
      <w:r w:rsidRPr="00CD0A01">
        <w:rPr>
          <w:rFonts w:ascii="Arial" w:hAnsi="Arial"/>
          <w:sz w:val="22"/>
          <w:szCs w:val="22"/>
        </w:rPr>
        <w:t>nuove tipologie familiari. Al tendenziale aumento di questa tipologia di matrimoni</w:t>
      </w:r>
      <w:r w:rsidR="00271F9A" w:rsidRPr="00CD0A01">
        <w:rPr>
          <w:rFonts w:ascii="Arial" w:hAnsi="Arial"/>
          <w:sz w:val="22"/>
          <w:szCs w:val="22"/>
        </w:rPr>
        <w:t>,</w:t>
      </w:r>
      <w:r w:rsidRPr="00CD0A01">
        <w:rPr>
          <w:rFonts w:ascii="Arial" w:hAnsi="Arial"/>
          <w:sz w:val="22"/>
          <w:szCs w:val="22"/>
        </w:rPr>
        <w:t xml:space="preserve"> registrato soprattutto nel biennio 2015-2016 come conseguenza dell’introduzione nel 2015 del “divorzio breve”</w:t>
      </w:r>
      <w:r w:rsidR="00271F9A" w:rsidRPr="00CD0A01">
        <w:rPr>
          <w:rFonts w:ascii="Arial" w:hAnsi="Arial"/>
          <w:sz w:val="22"/>
          <w:szCs w:val="22"/>
        </w:rPr>
        <w:t>,</w:t>
      </w:r>
      <w:r w:rsidRPr="00CD0A01">
        <w:rPr>
          <w:rFonts w:ascii="Arial" w:hAnsi="Arial"/>
          <w:sz w:val="22"/>
          <w:szCs w:val="22"/>
        </w:rPr>
        <w:t xml:space="preserve"> ha fatto seguito una progressiva stabilizzazione</w:t>
      </w:r>
      <w:r w:rsidR="00562678">
        <w:rPr>
          <w:rFonts w:ascii="Arial" w:hAnsi="Arial"/>
          <w:sz w:val="22"/>
          <w:szCs w:val="22"/>
        </w:rPr>
        <w:t xml:space="preserve"> che si è protratta fino al 2019</w:t>
      </w:r>
      <w:r w:rsidRPr="00CD0A01">
        <w:rPr>
          <w:rFonts w:ascii="Arial" w:hAnsi="Arial"/>
          <w:sz w:val="22"/>
          <w:szCs w:val="22"/>
        </w:rPr>
        <w:t>.</w:t>
      </w:r>
    </w:p>
    <w:p w14:paraId="7F4B5F58" w14:textId="0DE8466F" w:rsidR="00503BA5" w:rsidRPr="00CD0A01" w:rsidRDefault="00503BA5" w:rsidP="00495E20">
      <w:pPr>
        <w:pStyle w:val="RAtesto"/>
        <w:spacing w:line="240" w:lineRule="auto"/>
        <w:rPr>
          <w:rFonts w:ascii="Arial" w:hAnsi="Arial"/>
          <w:sz w:val="22"/>
          <w:szCs w:val="22"/>
        </w:rPr>
      </w:pPr>
      <w:r>
        <w:rPr>
          <w:rFonts w:ascii="Arial" w:hAnsi="Arial"/>
          <w:sz w:val="22"/>
          <w:szCs w:val="22"/>
        </w:rPr>
        <w:t xml:space="preserve">Nel 2022 le seconde (o successive) nozze sono </w:t>
      </w:r>
      <w:r w:rsidR="004878C0">
        <w:rPr>
          <w:rFonts w:ascii="Arial" w:hAnsi="Arial"/>
          <w:sz w:val="22"/>
          <w:szCs w:val="22"/>
        </w:rPr>
        <w:t xml:space="preserve">state </w:t>
      </w:r>
      <w:r>
        <w:rPr>
          <w:rFonts w:ascii="Arial" w:hAnsi="Arial"/>
          <w:sz w:val="22"/>
          <w:szCs w:val="22"/>
        </w:rPr>
        <w:t xml:space="preserve">42.918, finora il valore più alto mai registrato </w:t>
      </w:r>
      <w:r w:rsidR="003F21CE">
        <w:rPr>
          <w:rFonts w:ascii="Arial" w:hAnsi="Arial"/>
          <w:sz w:val="22"/>
          <w:szCs w:val="22"/>
        </w:rPr>
        <w:t>(l</w:t>
      </w:r>
      <w:r>
        <w:rPr>
          <w:rFonts w:ascii="Arial" w:hAnsi="Arial"/>
          <w:sz w:val="22"/>
          <w:szCs w:val="22"/>
        </w:rPr>
        <w:t xml:space="preserve">a quota sul totale dei matrimoni è </w:t>
      </w:r>
      <w:r w:rsidR="003508DC">
        <w:rPr>
          <w:rFonts w:ascii="Arial" w:hAnsi="Arial"/>
          <w:sz w:val="22"/>
          <w:szCs w:val="22"/>
        </w:rPr>
        <w:t xml:space="preserve">del </w:t>
      </w:r>
      <w:r>
        <w:rPr>
          <w:rFonts w:ascii="Arial" w:hAnsi="Arial"/>
          <w:sz w:val="22"/>
          <w:szCs w:val="22"/>
        </w:rPr>
        <w:t>22,7%</w:t>
      </w:r>
      <w:r w:rsidR="003F21CE">
        <w:rPr>
          <w:rFonts w:ascii="Arial" w:hAnsi="Arial"/>
          <w:sz w:val="22"/>
          <w:szCs w:val="22"/>
        </w:rPr>
        <w:t>)</w:t>
      </w:r>
      <w:r w:rsidR="003508DC">
        <w:rPr>
          <w:rFonts w:ascii="Arial" w:hAnsi="Arial"/>
          <w:sz w:val="22"/>
          <w:szCs w:val="22"/>
        </w:rPr>
        <w:t xml:space="preserve">. Tale percentuale </w:t>
      </w:r>
      <w:r>
        <w:rPr>
          <w:rFonts w:ascii="Arial" w:hAnsi="Arial"/>
          <w:sz w:val="22"/>
          <w:szCs w:val="22"/>
        </w:rPr>
        <w:t>solo nel 2020 era stata più elevata (28,0%) ma</w:t>
      </w:r>
      <w:r w:rsidR="003508DC">
        <w:rPr>
          <w:rFonts w:ascii="Arial" w:hAnsi="Arial"/>
          <w:sz w:val="22"/>
          <w:szCs w:val="22"/>
        </w:rPr>
        <w:t xml:space="preserve"> tale circostanza si verificò in realtà come conseguenza di una </w:t>
      </w:r>
      <w:r>
        <w:rPr>
          <w:rFonts w:ascii="Arial" w:hAnsi="Arial"/>
          <w:sz w:val="22"/>
          <w:szCs w:val="22"/>
        </w:rPr>
        <w:t xml:space="preserve">congiuntura sfavorevole che </w:t>
      </w:r>
      <w:r w:rsidR="003508DC">
        <w:rPr>
          <w:rFonts w:ascii="Arial" w:hAnsi="Arial"/>
          <w:sz w:val="22"/>
          <w:szCs w:val="22"/>
        </w:rPr>
        <w:t xml:space="preserve">fece contrarre </w:t>
      </w:r>
      <w:r>
        <w:rPr>
          <w:rFonts w:ascii="Arial" w:hAnsi="Arial"/>
          <w:sz w:val="22"/>
          <w:szCs w:val="22"/>
        </w:rPr>
        <w:t xml:space="preserve">in modo più </w:t>
      </w:r>
      <w:r w:rsidR="003508DC">
        <w:rPr>
          <w:rFonts w:ascii="Arial" w:hAnsi="Arial"/>
          <w:sz w:val="22"/>
          <w:szCs w:val="22"/>
        </w:rPr>
        <w:t xml:space="preserve">deciso </w:t>
      </w:r>
      <w:r>
        <w:rPr>
          <w:rFonts w:ascii="Arial" w:hAnsi="Arial"/>
          <w:sz w:val="22"/>
          <w:szCs w:val="22"/>
        </w:rPr>
        <w:t>i primi matrimoni e</w:t>
      </w:r>
      <w:r w:rsidR="003508DC">
        <w:rPr>
          <w:rFonts w:ascii="Arial" w:hAnsi="Arial"/>
          <w:sz w:val="22"/>
          <w:szCs w:val="22"/>
        </w:rPr>
        <w:t xml:space="preserve">, all’interno di questi ultimi, </w:t>
      </w:r>
      <w:r>
        <w:rPr>
          <w:rFonts w:ascii="Arial" w:hAnsi="Arial"/>
          <w:sz w:val="22"/>
          <w:szCs w:val="22"/>
        </w:rPr>
        <w:t>quelli religiosi.</w:t>
      </w:r>
      <w:r w:rsidR="001348D8">
        <w:rPr>
          <w:rFonts w:ascii="Arial" w:hAnsi="Arial"/>
          <w:sz w:val="22"/>
          <w:szCs w:val="22"/>
        </w:rPr>
        <w:t xml:space="preserve"> </w:t>
      </w:r>
      <w:r>
        <w:rPr>
          <w:rFonts w:ascii="Arial" w:hAnsi="Arial"/>
          <w:sz w:val="22"/>
          <w:szCs w:val="22"/>
        </w:rPr>
        <w:t xml:space="preserve">L’aumento </w:t>
      </w:r>
      <w:r w:rsidR="003508DC">
        <w:rPr>
          <w:rFonts w:ascii="Arial" w:hAnsi="Arial"/>
          <w:sz w:val="22"/>
          <w:szCs w:val="22"/>
        </w:rPr>
        <w:t xml:space="preserve">delle seconde nozze </w:t>
      </w:r>
      <w:r>
        <w:rPr>
          <w:rFonts w:ascii="Arial" w:hAnsi="Arial"/>
          <w:sz w:val="22"/>
          <w:szCs w:val="22"/>
        </w:rPr>
        <w:t>è del 12,9%</w:t>
      </w:r>
      <w:r w:rsidR="003508DC">
        <w:rPr>
          <w:rFonts w:ascii="Arial" w:hAnsi="Arial"/>
          <w:sz w:val="22"/>
          <w:szCs w:val="22"/>
        </w:rPr>
        <w:t xml:space="preserve"> rispetto al 2021</w:t>
      </w:r>
      <w:r>
        <w:rPr>
          <w:rFonts w:ascii="Arial" w:hAnsi="Arial"/>
          <w:sz w:val="22"/>
          <w:szCs w:val="22"/>
        </w:rPr>
        <w:t xml:space="preserve">, </w:t>
      </w:r>
      <w:r w:rsidR="00E61141">
        <w:rPr>
          <w:rFonts w:ascii="Arial" w:hAnsi="Arial"/>
          <w:sz w:val="22"/>
          <w:szCs w:val="22"/>
        </w:rPr>
        <w:t xml:space="preserve">del </w:t>
      </w:r>
      <w:r>
        <w:rPr>
          <w:rFonts w:ascii="Arial" w:hAnsi="Arial"/>
          <w:sz w:val="22"/>
          <w:szCs w:val="22"/>
        </w:rPr>
        <w:t xml:space="preserve">13,1% rispetto al 2019. La tendenza all’aumento, </w:t>
      </w:r>
      <w:r w:rsidR="00EA66E5">
        <w:rPr>
          <w:rFonts w:ascii="Arial" w:hAnsi="Arial"/>
          <w:sz w:val="22"/>
          <w:szCs w:val="22"/>
        </w:rPr>
        <w:t xml:space="preserve">quindi, appare confermata </w:t>
      </w:r>
      <w:r w:rsidR="00E61141">
        <w:rPr>
          <w:rFonts w:ascii="Arial" w:hAnsi="Arial"/>
          <w:sz w:val="22"/>
          <w:szCs w:val="22"/>
        </w:rPr>
        <w:t xml:space="preserve">mentre </w:t>
      </w:r>
      <w:r w:rsidR="00EA66E5">
        <w:rPr>
          <w:rFonts w:ascii="Arial" w:hAnsi="Arial"/>
          <w:sz w:val="22"/>
          <w:szCs w:val="22"/>
        </w:rPr>
        <w:t>gli effetti congiunturali della pandemia</w:t>
      </w:r>
      <w:r w:rsidR="00E61141">
        <w:rPr>
          <w:rFonts w:ascii="Arial" w:hAnsi="Arial"/>
          <w:sz w:val="22"/>
          <w:szCs w:val="22"/>
        </w:rPr>
        <w:t xml:space="preserve"> risulterebbero superati</w:t>
      </w:r>
      <w:r w:rsidR="00EA66E5">
        <w:rPr>
          <w:rFonts w:ascii="Arial" w:hAnsi="Arial"/>
          <w:sz w:val="22"/>
          <w:szCs w:val="22"/>
        </w:rPr>
        <w:t>.</w:t>
      </w:r>
    </w:p>
    <w:p w14:paraId="5863478C" w14:textId="4F6FEC65" w:rsidR="003C4CD2" w:rsidRDefault="00243905" w:rsidP="00495E20">
      <w:pPr>
        <w:autoSpaceDE w:val="0"/>
        <w:autoSpaceDN w:val="0"/>
        <w:adjustRightInd w:val="0"/>
        <w:spacing w:after="120"/>
        <w:jc w:val="both"/>
        <w:rPr>
          <w:rFonts w:ascii="Arial" w:hAnsi="Arial" w:cs="Arial"/>
          <w:sz w:val="22"/>
          <w:szCs w:val="22"/>
        </w:rPr>
      </w:pPr>
      <w:r w:rsidRPr="00071622">
        <w:rPr>
          <w:rFonts w:ascii="Arial" w:hAnsi="Arial" w:cs="Arial"/>
          <w:sz w:val="22"/>
          <w:szCs w:val="22"/>
        </w:rPr>
        <w:t xml:space="preserve">I matrimoni successivi al primo sono più diffusi </w:t>
      </w:r>
      <w:r w:rsidR="00495E20" w:rsidRPr="00071622">
        <w:rPr>
          <w:rFonts w:ascii="Arial" w:hAnsi="Arial" w:cs="Arial"/>
          <w:sz w:val="22"/>
          <w:szCs w:val="22"/>
        </w:rPr>
        <w:t xml:space="preserve">nei territori in cui </w:t>
      </w:r>
      <w:r w:rsidRPr="00071622">
        <w:rPr>
          <w:rFonts w:ascii="Arial" w:hAnsi="Arial" w:cs="Arial"/>
          <w:sz w:val="22"/>
          <w:szCs w:val="22"/>
        </w:rPr>
        <w:t xml:space="preserve">si registrano tassi di </w:t>
      </w:r>
      <w:r w:rsidR="0092078A" w:rsidRPr="00071622">
        <w:rPr>
          <w:rFonts w:ascii="Arial" w:hAnsi="Arial" w:cs="Arial"/>
          <w:sz w:val="22"/>
          <w:szCs w:val="22"/>
        </w:rPr>
        <w:t>divorzio</w:t>
      </w:r>
      <w:r w:rsidRPr="00071622">
        <w:rPr>
          <w:rFonts w:ascii="Arial" w:hAnsi="Arial" w:cs="Arial"/>
          <w:sz w:val="22"/>
          <w:szCs w:val="22"/>
        </w:rPr>
        <w:t xml:space="preserve"> più elevati, ovvero nelle regioni del </w:t>
      </w:r>
      <w:r w:rsidR="00E61141">
        <w:rPr>
          <w:rFonts w:ascii="Arial" w:hAnsi="Arial" w:cs="Arial"/>
          <w:sz w:val="22"/>
          <w:szCs w:val="22"/>
        </w:rPr>
        <w:t>Centro-</w:t>
      </w:r>
      <w:r w:rsidR="004F5D13">
        <w:rPr>
          <w:rFonts w:ascii="Arial" w:hAnsi="Arial" w:cs="Arial"/>
          <w:sz w:val="22"/>
          <w:szCs w:val="22"/>
        </w:rPr>
        <w:t>n</w:t>
      </w:r>
      <w:r w:rsidRPr="00071622">
        <w:rPr>
          <w:rFonts w:ascii="Arial" w:hAnsi="Arial" w:cs="Arial"/>
          <w:sz w:val="22"/>
          <w:szCs w:val="22"/>
        </w:rPr>
        <w:t>ord.</w:t>
      </w:r>
      <w:r w:rsidR="00FA36AC" w:rsidRPr="00071622">
        <w:rPr>
          <w:rFonts w:ascii="Arial" w:hAnsi="Arial" w:cs="Arial"/>
          <w:sz w:val="22"/>
          <w:szCs w:val="22"/>
        </w:rPr>
        <w:t xml:space="preserve"> </w:t>
      </w:r>
      <w:r w:rsidR="00235A69" w:rsidRPr="00071622">
        <w:rPr>
          <w:rFonts w:ascii="Arial" w:hAnsi="Arial" w:cs="Arial"/>
          <w:sz w:val="22"/>
          <w:szCs w:val="22"/>
        </w:rPr>
        <w:t xml:space="preserve">Le percentuali più </w:t>
      </w:r>
      <w:r w:rsidR="007F7C82" w:rsidRPr="00071622">
        <w:rPr>
          <w:rFonts w:ascii="Arial" w:hAnsi="Arial" w:cs="Arial"/>
          <w:sz w:val="22"/>
          <w:szCs w:val="22"/>
        </w:rPr>
        <w:t>al</w:t>
      </w:r>
      <w:r w:rsidR="00235A69" w:rsidRPr="00071622">
        <w:rPr>
          <w:rFonts w:ascii="Arial" w:hAnsi="Arial" w:cs="Arial"/>
          <w:sz w:val="22"/>
          <w:szCs w:val="22"/>
        </w:rPr>
        <w:t xml:space="preserve">te di matrimoni con almeno uno sposo alle seconde nozze sul totale delle </w:t>
      </w:r>
      <w:r w:rsidR="00F01EEB" w:rsidRPr="00071622">
        <w:rPr>
          <w:rFonts w:ascii="Arial" w:hAnsi="Arial" w:cs="Arial"/>
          <w:sz w:val="22"/>
          <w:szCs w:val="22"/>
        </w:rPr>
        <w:t xml:space="preserve">celebrazioni si osservano in </w:t>
      </w:r>
      <w:r w:rsidR="00235A69" w:rsidRPr="00071622">
        <w:rPr>
          <w:rFonts w:ascii="Arial" w:hAnsi="Arial" w:cs="Arial"/>
          <w:sz w:val="22"/>
          <w:szCs w:val="22"/>
        </w:rPr>
        <w:t>Liguria (</w:t>
      </w:r>
      <w:r w:rsidR="000D3939" w:rsidRPr="00071622">
        <w:rPr>
          <w:rFonts w:ascii="Arial" w:hAnsi="Arial" w:cs="Arial"/>
          <w:sz w:val="22"/>
          <w:szCs w:val="22"/>
        </w:rPr>
        <w:t>3</w:t>
      </w:r>
      <w:r w:rsidR="00071622" w:rsidRPr="00071622">
        <w:rPr>
          <w:rFonts w:ascii="Arial" w:hAnsi="Arial" w:cs="Arial"/>
          <w:sz w:val="22"/>
          <w:szCs w:val="22"/>
        </w:rPr>
        <w:t>4</w:t>
      </w:r>
      <w:r w:rsidR="00235A69" w:rsidRPr="00071622">
        <w:rPr>
          <w:rFonts w:ascii="Arial" w:hAnsi="Arial" w:cs="Arial"/>
          <w:sz w:val="22"/>
          <w:szCs w:val="22"/>
        </w:rPr>
        <w:t>,</w:t>
      </w:r>
      <w:r w:rsidR="00071622" w:rsidRPr="00071622">
        <w:rPr>
          <w:rFonts w:ascii="Arial" w:hAnsi="Arial" w:cs="Arial"/>
          <w:sz w:val="22"/>
          <w:szCs w:val="22"/>
        </w:rPr>
        <w:t>5</w:t>
      </w:r>
      <w:r w:rsidR="001348D8">
        <w:rPr>
          <w:rFonts w:ascii="Arial" w:hAnsi="Arial" w:cs="Arial"/>
          <w:sz w:val="22"/>
          <w:szCs w:val="22"/>
        </w:rPr>
        <w:t xml:space="preserve">%), </w:t>
      </w:r>
      <w:r w:rsidR="00235A69" w:rsidRPr="00071622">
        <w:rPr>
          <w:rFonts w:ascii="Arial" w:hAnsi="Arial" w:cs="Arial"/>
          <w:sz w:val="22"/>
          <w:szCs w:val="22"/>
        </w:rPr>
        <w:t>Friuli-Venezia Giulia (3</w:t>
      </w:r>
      <w:r w:rsidR="000D3939" w:rsidRPr="00071622">
        <w:rPr>
          <w:rFonts w:ascii="Arial" w:hAnsi="Arial" w:cs="Arial"/>
          <w:sz w:val="22"/>
          <w:szCs w:val="22"/>
        </w:rPr>
        <w:t>2</w:t>
      </w:r>
      <w:r w:rsidR="00235A69" w:rsidRPr="00071622">
        <w:rPr>
          <w:rFonts w:ascii="Arial" w:hAnsi="Arial" w:cs="Arial"/>
          <w:sz w:val="22"/>
          <w:szCs w:val="22"/>
        </w:rPr>
        <w:t>,</w:t>
      </w:r>
      <w:r w:rsidR="00071622" w:rsidRPr="00071622">
        <w:rPr>
          <w:rFonts w:ascii="Arial" w:hAnsi="Arial" w:cs="Arial"/>
          <w:sz w:val="22"/>
          <w:szCs w:val="22"/>
        </w:rPr>
        <w:t>6</w:t>
      </w:r>
      <w:r w:rsidR="000D3939" w:rsidRPr="00071622">
        <w:rPr>
          <w:rFonts w:ascii="Arial" w:hAnsi="Arial" w:cs="Arial"/>
          <w:sz w:val="22"/>
          <w:szCs w:val="22"/>
        </w:rPr>
        <w:t>%)</w:t>
      </w:r>
      <w:r w:rsidR="00071622">
        <w:rPr>
          <w:rFonts w:ascii="Arial" w:hAnsi="Arial" w:cs="Arial"/>
          <w:sz w:val="22"/>
          <w:szCs w:val="22"/>
        </w:rPr>
        <w:t xml:space="preserve"> e </w:t>
      </w:r>
      <w:r w:rsidR="00071622" w:rsidRPr="00F75E7E">
        <w:rPr>
          <w:rFonts w:ascii="Arial" w:hAnsi="Arial" w:cs="Arial"/>
          <w:sz w:val="22"/>
          <w:szCs w:val="22"/>
        </w:rPr>
        <w:t>Valle d’Aosta/</w:t>
      </w:r>
      <w:r w:rsidR="00071622" w:rsidRPr="00F75E7E">
        <w:rPr>
          <w:rFonts w:ascii="Arial" w:hAnsi="Arial" w:cs="Arial"/>
          <w:i/>
          <w:iCs/>
          <w:sz w:val="22"/>
          <w:szCs w:val="22"/>
        </w:rPr>
        <w:t>Vallée d'Aoste</w:t>
      </w:r>
      <w:r w:rsidR="00071622">
        <w:rPr>
          <w:rFonts w:ascii="Arial" w:hAnsi="Arial" w:cs="Arial"/>
          <w:i/>
          <w:iCs/>
          <w:sz w:val="22"/>
          <w:szCs w:val="22"/>
        </w:rPr>
        <w:t xml:space="preserve"> </w:t>
      </w:r>
      <w:r w:rsidR="00071622">
        <w:rPr>
          <w:rFonts w:ascii="Arial" w:hAnsi="Arial" w:cs="Arial"/>
          <w:iCs/>
          <w:sz w:val="22"/>
          <w:szCs w:val="22"/>
        </w:rPr>
        <w:t>(32,</w:t>
      </w:r>
      <w:r w:rsidR="00071622" w:rsidRPr="00071622">
        <w:rPr>
          <w:rFonts w:ascii="Arial" w:hAnsi="Arial" w:cs="Arial"/>
          <w:iCs/>
          <w:sz w:val="22"/>
          <w:szCs w:val="22"/>
        </w:rPr>
        <w:t>1</w:t>
      </w:r>
      <w:r w:rsidR="001078F4">
        <w:rPr>
          <w:rFonts w:ascii="Arial" w:hAnsi="Arial" w:cs="Arial"/>
          <w:iCs/>
          <w:sz w:val="22"/>
          <w:szCs w:val="22"/>
        </w:rPr>
        <w:t>%</w:t>
      </w:r>
      <w:r w:rsidR="00071622" w:rsidRPr="00071622">
        <w:rPr>
          <w:rFonts w:ascii="Arial" w:hAnsi="Arial" w:cs="Arial"/>
          <w:iCs/>
          <w:sz w:val="22"/>
          <w:szCs w:val="22"/>
        </w:rPr>
        <w:t>)</w:t>
      </w:r>
      <w:r w:rsidR="00235A69" w:rsidRPr="00071622">
        <w:rPr>
          <w:rFonts w:ascii="Arial" w:hAnsi="Arial" w:cs="Arial"/>
          <w:sz w:val="22"/>
          <w:szCs w:val="22"/>
        </w:rPr>
        <w:t xml:space="preserve">. Le incidenze più basse si rilevano, invece, in </w:t>
      </w:r>
      <w:r w:rsidR="000D3939" w:rsidRPr="00071622">
        <w:rPr>
          <w:rFonts w:ascii="Arial" w:hAnsi="Arial" w:cs="Arial"/>
          <w:sz w:val="22"/>
          <w:szCs w:val="22"/>
        </w:rPr>
        <w:t>Basilicata</w:t>
      </w:r>
      <w:r w:rsidR="00D422BF" w:rsidRPr="00071622">
        <w:rPr>
          <w:rFonts w:ascii="Arial" w:hAnsi="Arial" w:cs="Arial"/>
          <w:sz w:val="22"/>
          <w:szCs w:val="22"/>
        </w:rPr>
        <w:t xml:space="preserve"> (</w:t>
      </w:r>
      <w:r w:rsidR="00071622" w:rsidRPr="00071622">
        <w:rPr>
          <w:rFonts w:ascii="Arial" w:hAnsi="Arial" w:cs="Arial"/>
          <w:sz w:val="22"/>
          <w:szCs w:val="22"/>
        </w:rPr>
        <w:t>9</w:t>
      </w:r>
      <w:r w:rsidR="00D422BF" w:rsidRPr="00071622">
        <w:rPr>
          <w:rFonts w:ascii="Arial" w:hAnsi="Arial" w:cs="Arial"/>
          <w:sz w:val="22"/>
          <w:szCs w:val="22"/>
        </w:rPr>
        <w:t>,</w:t>
      </w:r>
      <w:r w:rsidR="00071622" w:rsidRPr="00071622">
        <w:rPr>
          <w:rFonts w:ascii="Arial" w:hAnsi="Arial" w:cs="Arial"/>
          <w:sz w:val="22"/>
          <w:szCs w:val="22"/>
        </w:rPr>
        <w:t>5</w:t>
      </w:r>
      <w:r w:rsidR="00D422BF" w:rsidRPr="00071622">
        <w:rPr>
          <w:rFonts w:ascii="Arial" w:hAnsi="Arial" w:cs="Arial"/>
          <w:sz w:val="22"/>
          <w:szCs w:val="22"/>
        </w:rPr>
        <w:t>%)</w:t>
      </w:r>
      <w:r w:rsidR="000D3939" w:rsidRPr="00071622">
        <w:rPr>
          <w:rFonts w:ascii="Arial" w:hAnsi="Arial" w:cs="Arial"/>
          <w:sz w:val="22"/>
          <w:szCs w:val="22"/>
        </w:rPr>
        <w:t xml:space="preserve"> e Calabria (</w:t>
      </w:r>
      <w:r w:rsidR="00071622" w:rsidRPr="00071622">
        <w:rPr>
          <w:rFonts w:ascii="Arial" w:hAnsi="Arial" w:cs="Arial"/>
          <w:sz w:val="22"/>
          <w:szCs w:val="22"/>
        </w:rPr>
        <w:t>10</w:t>
      </w:r>
      <w:r w:rsidR="000D3939" w:rsidRPr="00071622">
        <w:rPr>
          <w:rFonts w:ascii="Arial" w:hAnsi="Arial" w:cs="Arial"/>
          <w:sz w:val="22"/>
          <w:szCs w:val="22"/>
        </w:rPr>
        <w:t>,</w:t>
      </w:r>
      <w:r w:rsidR="00071622" w:rsidRPr="00071622">
        <w:rPr>
          <w:rFonts w:ascii="Arial" w:hAnsi="Arial" w:cs="Arial"/>
          <w:sz w:val="22"/>
          <w:szCs w:val="22"/>
        </w:rPr>
        <w:t>9</w:t>
      </w:r>
      <w:r w:rsidR="000D3939" w:rsidRPr="00071622">
        <w:rPr>
          <w:rFonts w:ascii="Arial" w:hAnsi="Arial" w:cs="Arial"/>
          <w:sz w:val="22"/>
          <w:szCs w:val="22"/>
        </w:rPr>
        <w:t>%)</w:t>
      </w:r>
      <w:r w:rsidR="00E27244" w:rsidRPr="00071622">
        <w:rPr>
          <w:rFonts w:ascii="Arial" w:hAnsi="Arial" w:cs="Arial"/>
          <w:sz w:val="22"/>
          <w:szCs w:val="22"/>
        </w:rPr>
        <w:t xml:space="preserve"> </w:t>
      </w:r>
      <w:r w:rsidR="00235A69" w:rsidRPr="00071622">
        <w:rPr>
          <w:rFonts w:ascii="Arial" w:hAnsi="Arial" w:cs="Arial"/>
          <w:sz w:val="22"/>
          <w:szCs w:val="22"/>
        </w:rPr>
        <w:t xml:space="preserve">(Figura </w:t>
      </w:r>
      <w:r w:rsidR="003C4CD2" w:rsidRPr="00071622">
        <w:rPr>
          <w:rFonts w:ascii="Arial" w:hAnsi="Arial" w:cs="Arial"/>
          <w:sz w:val="22"/>
          <w:szCs w:val="22"/>
        </w:rPr>
        <w:t>1</w:t>
      </w:r>
      <w:r w:rsidR="00235A69" w:rsidRPr="00071622">
        <w:rPr>
          <w:rFonts w:ascii="Arial" w:hAnsi="Arial" w:cs="Arial"/>
          <w:sz w:val="22"/>
          <w:szCs w:val="22"/>
        </w:rPr>
        <w:t>).</w:t>
      </w:r>
    </w:p>
    <w:p w14:paraId="3810E6D6" w14:textId="77777777" w:rsidR="00E83799" w:rsidRDefault="00E83799" w:rsidP="00495E20">
      <w:pPr>
        <w:autoSpaceDE w:val="0"/>
        <w:autoSpaceDN w:val="0"/>
        <w:adjustRightInd w:val="0"/>
        <w:spacing w:after="120"/>
        <w:jc w:val="both"/>
        <w:rPr>
          <w:rFonts w:ascii="Arial" w:hAnsi="Arial" w:cs="Arial"/>
          <w:sz w:val="22"/>
          <w:szCs w:val="22"/>
        </w:rPr>
      </w:pPr>
    </w:p>
    <w:p w14:paraId="00F5B771" w14:textId="334481EF" w:rsidR="00E83799" w:rsidRPr="00EA66E5" w:rsidRDefault="00E61141" w:rsidP="00495E20">
      <w:pPr>
        <w:spacing w:after="120"/>
        <w:jc w:val="both"/>
        <w:outlineLvl w:val="0"/>
        <w:rPr>
          <w:rFonts w:ascii="Arial" w:hAnsi="Arial" w:cs="Arial"/>
          <w:b/>
          <w:color w:val="1F497D" w:themeColor="text2"/>
          <w:sz w:val="26"/>
          <w:szCs w:val="26"/>
        </w:rPr>
      </w:pPr>
      <w:r>
        <w:rPr>
          <w:rFonts w:ascii="Arial" w:hAnsi="Arial" w:cs="Arial"/>
          <w:b/>
          <w:color w:val="1F497D" w:themeColor="text2"/>
          <w:sz w:val="26"/>
          <w:szCs w:val="26"/>
        </w:rPr>
        <w:t>I</w:t>
      </w:r>
      <w:r w:rsidR="00773FB5">
        <w:rPr>
          <w:rFonts w:ascii="Arial" w:hAnsi="Arial" w:cs="Arial"/>
          <w:b/>
          <w:color w:val="1F497D" w:themeColor="text2"/>
          <w:sz w:val="26"/>
          <w:szCs w:val="26"/>
        </w:rPr>
        <w:t xml:space="preserve">n </w:t>
      </w:r>
      <w:r w:rsidR="00507FC7">
        <w:rPr>
          <w:rFonts w:ascii="Arial" w:hAnsi="Arial" w:cs="Arial"/>
          <w:b/>
          <w:color w:val="1F497D" w:themeColor="text2"/>
          <w:sz w:val="26"/>
          <w:szCs w:val="26"/>
        </w:rPr>
        <w:t xml:space="preserve">crescita </w:t>
      </w:r>
      <w:r w:rsidR="00773FB5">
        <w:rPr>
          <w:rFonts w:ascii="Arial" w:hAnsi="Arial" w:cs="Arial"/>
          <w:b/>
          <w:color w:val="1F497D" w:themeColor="text2"/>
          <w:sz w:val="26"/>
          <w:szCs w:val="26"/>
        </w:rPr>
        <w:t>i</w:t>
      </w:r>
      <w:r>
        <w:rPr>
          <w:rFonts w:ascii="Arial" w:hAnsi="Arial" w:cs="Arial"/>
          <w:b/>
          <w:color w:val="1F497D" w:themeColor="text2"/>
          <w:sz w:val="26"/>
          <w:szCs w:val="26"/>
        </w:rPr>
        <w:t xml:space="preserve"> </w:t>
      </w:r>
      <w:r w:rsidR="00EA66E5" w:rsidRPr="00EA66E5">
        <w:rPr>
          <w:rFonts w:ascii="Arial" w:hAnsi="Arial" w:cs="Arial"/>
          <w:b/>
          <w:color w:val="1F497D" w:themeColor="text2"/>
          <w:sz w:val="26"/>
          <w:szCs w:val="26"/>
        </w:rPr>
        <w:t>matrimoni</w:t>
      </w:r>
      <w:r w:rsidR="00653B88" w:rsidRPr="00EA66E5">
        <w:rPr>
          <w:rFonts w:ascii="Arial" w:hAnsi="Arial" w:cs="Arial"/>
          <w:b/>
          <w:color w:val="1F497D" w:themeColor="text2"/>
          <w:sz w:val="26"/>
          <w:szCs w:val="26"/>
        </w:rPr>
        <w:t xml:space="preserve"> </w:t>
      </w:r>
      <w:r w:rsidR="00E83799" w:rsidRPr="00EA66E5">
        <w:rPr>
          <w:rFonts w:ascii="Arial" w:hAnsi="Arial" w:cs="Arial"/>
          <w:b/>
          <w:color w:val="1F497D" w:themeColor="text2"/>
          <w:sz w:val="26"/>
          <w:szCs w:val="26"/>
        </w:rPr>
        <w:t>co</w:t>
      </w:r>
      <w:r w:rsidR="00773FB5">
        <w:rPr>
          <w:rFonts w:ascii="Arial" w:hAnsi="Arial" w:cs="Arial"/>
          <w:b/>
          <w:color w:val="1F497D" w:themeColor="text2"/>
          <w:sz w:val="26"/>
          <w:szCs w:val="26"/>
        </w:rPr>
        <w:t>n</w:t>
      </w:r>
      <w:r w:rsidR="00E83799" w:rsidRPr="00EA66E5">
        <w:rPr>
          <w:rFonts w:ascii="Arial" w:hAnsi="Arial" w:cs="Arial"/>
          <w:b/>
          <w:color w:val="1F497D" w:themeColor="text2"/>
          <w:sz w:val="26"/>
          <w:szCs w:val="26"/>
        </w:rPr>
        <w:t xml:space="preserve"> almeno uno sposo straniero</w:t>
      </w:r>
    </w:p>
    <w:p w14:paraId="6D8B0A0B" w14:textId="1FAB4935" w:rsidR="00E83799" w:rsidRPr="0018275B" w:rsidRDefault="00E83799" w:rsidP="00495E20">
      <w:pPr>
        <w:autoSpaceDE w:val="0"/>
        <w:autoSpaceDN w:val="0"/>
        <w:adjustRightInd w:val="0"/>
        <w:spacing w:after="120"/>
        <w:jc w:val="both"/>
        <w:rPr>
          <w:rFonts w:ascii="Arial" w:hAnsi="Arial" w:cs="Arial"/>
          <w:sz w:val="22"/>
          <w:szCs w:val="22"/>
          <w:highlight w:val="green"/>
        </w:rPr>
      </w:pPr>
      <w:r w:rsidRPr="00EA66E5">
        <w:rPr>
          <w:rFonts w:ascii="Arial" w:hAnsi="Arial" w:cs="Arial"/>
          <w:sz w:val="22"/>
          <w:szCs w:val="22"/>
        </w:rPr>
        <w:t>Nel 202</w:t>
      </w:r>
      <w:r w:rsidR="00EA66E5" w:rsidRPr="00EA66E5">
        <w:rPr>
          <w:rFonts w:ascii="Arial" w:hAnsi="Arial" w:cs="Arial"/>
          <w:sz w:val="22"/>
          <w:szCs w:val="22"/>
        </w:rPr>
        <w:t>2</w:t>
      </w:r>
      <w:r w:rsidRPr="00EA66E5">
        <w:rPr>
          <w:rFonts w:ascii="Arial" w:hAnsi="Arial" w:cs="Arial"/>
          <w:sz w:val="22"/>
          <w:szCs w:val="22"/>
        </w:rPr>
        <w:t xml:space="preserve"> sono state celebrate </w:t>
      </w:r>
      <w:r w:rsidR="00941F54" w:rsidRPr="00EA66E5">
        <w:rPr>
          <w:rFonts w:ascii="Arial" w:hAnsi="Arial" w:cs="Arial"/>
          <w:sz w:val="22"/>
          <w:szCs w:val="22"/>
        </w:rPr>
        <w:t>2</w:t>
      </w:r>
      <w:r w:rsidR="00EA66E5" w:rsidRPr="00EA66E5">
        <w:rPr>
          <w:rFonts w:ascii="Arial" w:hAnsi="Arial" w:cs="Arial"/>
          <w:sz w:val="22"/>
          <w:szCs w:val="22"/>
        </w:rPr>
        <w:t>9</w:t>
      </w:r>
      <w:r w:rsidR="00941F54" w:rsidRPr="00EA66E5">
        <w:rPr>
          <w:rFonts w:ascii="Arial" w:hAnsi="Arial" w:cs="Arial"/>
          <w:sz w:val="22"/>
          <w:szCs w:val="22"/>
        </w:rPr>
        <w:t>.</w:t>
      </w:r>
      <w:r w:rsidR="00EA66E5" w:rsidRPr="00EA66E5">
        <w:rPr>
          <w:rFonts w:ascii="Arial" w:hAnsi="Arial" w:cs="Arial"/>
          <w:sz w:val="22"/>
          <w:szCs w:val="22"/>
        </w:rPr>
        <w:t>574</w:t>
      </w:r>
      <w:r w:rsidR="00785EC2" w:rsidRPr="00EA66E5">
        <w:rPr>
          <w:rFonts w:ascii="Arial" w:hAnsi="Arial" w:cs="Arial"/>
          <w:sz w:val="22"/>
          <w:szCs w:val="22"/>
        </w:rPr>
        <w:t xml:space="preserve"> </w:t>
      </w:r>
      <w:r w:rsidRPr="00EA66E5">
        <w:rPr>
          <w:rFonts w:ascii="Arial" w:hAnsi="Arial" w:cs="Arial"/>
          <w:sz w:val="22"/>
          <w:szCs w:val="22"/>
        </w:rPr>
        <w:t>nozze con almeno uno sposo straniero</w:t>
      </w:r>
      <w:r w:rsidR="00E61141">
        <w:rPr>
          <w:rFonts w:ascii="Arial" w:hAnsi="Arial" w:cs="Arial"/>
          <w:sz w:val="22"/>
          <w:szCs w:val="22"/>
        </w:rPr>
        <w:t xml:space="preserve"> (il 15,6% del totale dei matrimoni)</w:t>
      </w:r>
      <w:r w:rsidRPr="00EA66E5">
        <w:rPr>
          <w:rFonts w:ascii="Arial" w:hAnsi="Arial" w:cs="Arial"/>
          <w:sz w:val="22"/>
          <w:szCs w:val="22"/>
        </w:rPr>
        <w:t xml:space="preserve">, in </w:t>
      </w:r>
      <w:r w:rsidR="00E27244" w:rsidRPr="00EA66E5">
        <w:rPr>
          <w:rFonts w:ascii="Arial" w:hAnsi="Arial" w:cs="Arial"/>
          <w:sz w:val="22"/>
          <w:szCs w:val="22"/>
        </w:rPr>
        <w:t xml:space="preserve">aumento del </w:t>
      </w:r>
      <w:r w:rsidR="00941F54" w:rsidRPr="00EA66E5">
        <w:rPr>
          <w:rFonts w:ascii="Arial" w:hAnsi="Arial" w:cs="Arial"/>
          <w:sz w:val="22"/>
          <w:szCs w:val="22"/>
        </w:rPr>
        <w:t>2</w:t>
      </w:r>
      <w:r w:rsidR="000D7092">
        <w:rPr>
          <w:rFonts w:ascii="Arial" w:hAnsi="Arial" w:cs="Arial"/>
          <w:sz w:val="22"/>
          <w:szCs w:val="22"/>
        </w:rPr>
        <w:t>1</w:t>
      </w:r>
      <w:r w:rsidR="00941F54" w:rsidRPr="00EA66E5">
        <w:rPr>
          <w:rFonts w:ascii="Arial" w:hAnsi="Arial" w:cs="Arial"/>
          <w:sz w:val="22"/>
          <w:szCs w:val="22"/>
        </w:rPr>
        <w:t>,</w:t>
      </w:r>
      <w:r w:rsidR="000D7092">
        <w:rPr>
          <w:rFonts w:ascii="Arial" w:hAnsi="Arial" w:cs="Arial"/>
          <w:sz w:val="22"/>
          <w:szCs w:val="22"/>
        </w:rPr>
        <w:t>3</w:t>
      </w:r>
      <w:r w:rsidRPr="00EA66E5">
        <w:rPr>
          <w:rFonts w:ascii="Arial" w:hAnsi="Arial" w:cs="Arial"/>
          <w:sz w:val="22"/>
          <w:szCs w:val="22"/>
        </w:rPr>
        <w:t>% rispetto all’anno precedente.</w:t>
      </w:r>
      <w:r w:rsidR="0018275B" w:rsidRPr="0018275B">
        <w:rPr>
          <w:rFonts w:ascii="Arial" w:hAnsi="Arial" w:cs="Arial"/>
          <w:sz w:val="22"/>
          <w:szCs w:val="22"/>
        </w:rPr>
        <w:t xml:space="preserve"> </w:t>
      </w:r>
      <w:r w:rsidR="0018275B" w:rsidRPr="00FD1C5E">
        <w:rPr>
          <w:rFonts w:ascii="Arial" w:hAnsi="Arial" w:cs="Arial"/>
          <w:sz w:val="22"/>
          <w:szCs w:val="22"/>
        </w:rPr>
        <w:t xml:space="preserve">La quota di matrimoni con almeno uno sposo straniero è notoriamente più elevata nelle aree in </w:t>
      </w:r>
      <w:r w:rsidR="0018275B" w:rsidRPr="00564877">
        <w:rPr>
          <w:rFonts w:ascii="Arial" w:hAnsi="Arial" w:cs="Arial"/>
          <w:sz w:val="22"/>
          <w:szCs w:val="22"/>
        </w:rPr>
        <w:t xml:space="preserve">cui è più stabile e radicato l’insediamento delle comunità straniere, cioè al Nord e al Centro (Figura 1). In queste due aree del Paese un matrimonio su cinque riguarda almeno uno sposo straniero mentre nel Mezzogiorno questa tipologia di matrimoni è pari </w:t>
      </w:r>
      <w:r w:rsidR="00564877" w:rsidRPr="00564877">
        <w:rPr>
          <w:rFonts w:ascii="Arial" w:hAnsi="Arial" w:cs="Arial"/>
          <w:sz w:val="22"/>
          <w:szCs w:val="22"/>
        </w:rPr>
        <w:t>all’8</w:t>
      </w:r>
      <w:r w:rsidR="0018275B" w:rsidRPr="00564877">
        <w:rPr>
          <w:rFonts w:ascii="Arial" w:hAnsi="Arial" w:cs="Arial"/>
          <w:sz w:val="22"/>
          <w:szCs w:val="22"/>
        </w:rPr>
        <w:t>,</w:t>
      </w:r>
      <w:r w:rsidR="00564877" w:rsidRPr="00564877">
        <w:rPr>
          <w:rFonts w:ascii="Arial" w:hAnsi="Arial" w:cs="Arial"/>
          <w:sz w:val="22"/>
          <w:szCs w:val="22"/>
        </w:rPr>
        <w:t>9</w:t>
      </w:r>
      <w:r w:rsidR="0018275B" w:rsidRPr="00564877">
        <w:rPr>
          <w:rFonts w:ascii="Arial" w:hAnsi="Arial" w:cs="Arial"/>
          <w:sz w:val="22"/>
          <w:szCs w:val="22"/>
        </w:rPr>
        <w:t>%. A livello regionale in cima alla graduatoria vi sono la provincia autonoma di Bolzano/</w:t>
      </w:r>
      <w:r w:rsidR="0018275B" w:rsidRPr="00564877">
        <w:rPr>
          <w:rFonts w:ascii="Arial" w:hAnsi="Arial" w:cs="Arial"/>
          <w:i/>
          <w:iCs/>
          <w:sz w:val="22"/>
          <w:szCs w:val="22"/>
        </w:rPr>
        <w:t>Bozen</w:t>
      </w:r>
      <w:r w:rsidR="0018275B" w:rsidRPr="00564877">
        <w:rPr>
          <w:rFonts w:ascii="Arial" w:hAnsi="Arial" w:cs="Arial"/>
          <w:sz w:val="22"/>
          <w:szCs w:val="22"/>
        </w:rPr>
        <w:t xml:space="preserve"> (2</w:t>
      </w:r>
      <w:r w:rsidR="00564877" w:rsidRPr="00564877">
        <w:rPr>
          <w:rFonts w:ascii="Arial" w:hAnsi="Arial" w:cs="Arial"/>
          <w:sz w:val="22"/>
          <w:szCs w:val="22"/>
        </w:rPr>
        <w:t>7</w:t>
      </w:r>
      <w:r w:rsidR="0018275B" w:rsidRPr="00564877">
        <w:rPr>
          <w:rFonts w:ascii="Arial" w:hAnsi="Arial" w:cs="Arial"/>
          <w:sz w:val="22"/>
          <w:szCs w:val="22"/>
        </w:rPr>
        <w:t>,</w:t>
      </w:r>
      <w:r w:rsidR="00564877" w:rsidRPr="00564877">
        <w:rPr>
          <w:rFonts w:ascii="Arial" w:hAnsi="Arial" w:cs="Arial"/>
          <w:sz w:val="22"/>
          <w:szCs w:val="22"/>
        </w:rPr>
        <w:t>9%) e</w:t>
      </w:r>
      <w:r w:rsidR="0018275B" w:rsidRPr="00564877">
        <w:rPr>
          <w:rFonts w:ascii="Arial" w:hAnsi="Arial" w:cs="Arial"/>
          <w:sz w:val="22"/>
          <w:szCs w:val="22"/>
        </w:rPr>
        <w:t xml:space="preserve"> </w:t>
      </w:r>
      <w:r w:rsidR="00230ADC">
        <w:rPr>
          <w:rFonts w:ascii="Arial" w:hAnsi="Arial" w:cs="Arial"/>
          <w:sz w:val="22"/>
          <w:szCs w:val="22"/>
        </w:rPr>
        <w:t>la Toscana (</w:t>
      </w:r>
      <w:r w:rsidR="00564877" w:rsidRPr="00564877">
        <w:rPr>
          <w:rFonts w:ascii="Arial" w:hAnsi="Arial" w:cs="Arial"/>
          <w:sz w:val="22"/>
          <w:szCs w:val="22"/>
        </w:rPr>
        <w:t>23,0%).</w:t>
      </w:r>
    </w:p>
    <w:p w14:paraId="2489B4E5" w14:textId="5E4D8A29" w:rsidR="00E83799" w:rsidRPr="0018275B" w:rsidRDefault="00E83799" w:rsidP="00495E20">
      <w:pPr>
        <w:autoSpaceDE w:val="0"/>
        <w:autoSpaceDN w:val="0"/>
        <w:adjustRightInd w:val="0"/>
        <w:spacing w:after="120"/>
        <w:jc w:val="both"/>
        <w:rPr>
          <w:rFonts w:ascii="Arial" w:hAnsi="Arial" w:cs="Arial"/>
          <w:sz w:val="22"/>
          <w:szCs w:val="22"/>
        </w:rPr>
      </w:pPr>
      <w:r w:rsidRPr="0018275B">
        <w:rPr>
          <w:rFonts w:ascii="Arial" w:hAnsi="Arial" w:cs="Arial"/>
          <w:sz w:val="22"/>
          <w:szCs w:val="22"/>
        </w:rPr>
        <w:t>I matrimoni misti (in cui uno sposo è italiano e l’alt</w:t>
      </w:r>
      <w:r w:rsidR="0018275B" w:rsidRPr="0018275B">
        <w:rPr>
          <w:rFonts w:ascii="Arial" w:hAnsi="Arial" w:cs="Arial"/>
          <w:sz w:val="22"/>
          <w:szCs w:val="22"/>
        </w:rPr>
        <w:t>ro straniero) ammontano a 20.678</w:t>
      </w:r>
      <w:r w:rsidRPr="0018275B">
        <w:rPr>
          <w:rFonts w:ascii="Arial" w:hAnsi="Arial" w:cs="Arial"/>
          <w:sz w:val="22"/>
          <w:szCs w:val="22"/>
        </w:rPr>
        <w:t xml:space="preserve"> e continuano a rappresentare la parte più consistente dei matrimoni con almeno uno sposo straniero</w:t>
      </w:r>
      <w:r w:rsidR="00DA1CBF" w:rsidRPr="0018275B">
        <w:rPr>
          <w:rFonts w:ascii="Arial" w:hAnsi="Arial" w:cs="Arial"/>
          <w:sz w:val="22"/>
          <w:szCs w:val="22"/>
        </w:rPr>
        <w:t xml:space="preserve"> (</w:t>
      </w:r>
      <w:r w:rsidR="0018275B" w:rsidRPr="0018275B">
        <w:rPr>
          <w:rFonts w:ascii="Arial" w:hAnsi="Arial" w:cs="Arial"/>
          <w:sz w:val="22"/>
          <w:szCs w:val="22"/>
        </w:rPr>
        <w:t>69</w:t>
      </w:r>
      <w:r w:rsidR="00707F74" w:rsidRPr="0018275B">
        <w:rPr>
          <w:rFonts w:ascii="Arial" w:hAnsi="Arial" w:cs="Arial"/>
          <w:sz w:val="22"/>
          <w:szCs w:val="22"/>
        </w:rPr>
        <w:t>,</w:t>
      </w:r>
      <w:r w:rsidR="0018275B" w:rsidRPr="0018275B">
        <w:rPr>
          <w:rFonts w:ascii="Arial" w:hAnsi="Arial" w:cs="Arial"/>
          <w:sz w:val="22"/>
          <w:szCs w:val="22"/>
        </w:rPr>
        <w:t>9</w:t>
      </w:r>
      <w:r w:rsidR="00DA1CBF" w:rsidRPr="0018275B">
        <w:rPr>
          <w:rFonts w:ascii="Arial" w:hAnsi="Arial" w:cs="Arial"/>
          <w:sz w:val="22"/>
          <w:szCs w:val="22"/>
        </w:rPr>
        <w:t>%).</w:t>
      </w:r>
      <w:r w:rsidRPr="0018275B">
        <w:rPr>
          <w:rFonts w:ascii="Arial" w:hAnsi="Arial" w:cs="Arial"/>
          <w:sz w:val="22"/>
          <w:szCs w:val="22"/>
        </w:rPr>
        <w:t xml:space="preserve"> </w:t>
      </w:r>
      <w:r w:rsidR="00E27244" w:rsidRPr="0018275B">
        <w:rPr>
          <w:rFonts w:ascii="Arial" w:hAnsi="Arial" w:cs="Arial"/>
          <w:sz w:val="22"/>
          <w:szCs w:val="22"/>
        </w:rPr>
        <w:t>Quasi</w:t>
      </w:r>
      <w:r w:rsidRPr="0018275B">
        <w:rPr>
          <w:rFonts w:ascii="Arial" w:hAnsi="Arial" w:cs="Arial"/>
          <w:sz w:val="22"/>
          <w:szCs w:val="22"/>
        </w:rPr>
        <w:t xml:space="preserve"> i tre quarti dei matrimoni misti riguardano coppie con sposo italiano e sposa straniera (1</w:t>
      </w:r>
      <w:r w:rsidR="0018275B" w:rsidRPr="0018275B">
        <w:rPr>
          <w:rFonts w:ascii="Arial" w:hAnsi="Arial" w:cs="Arial"/>
          <w:sz w:val="22"/>
          <w:szCs w:val="22"/>
        </w:rPr>
        <w:t>5</w:t>
      </w:r>
      <w:r w:rsidRPr="0018275B">
        <w:rPr>
          <w:rFonts w:ascii="Arial" w:hAnsi="Arial" w:cs="Arial"/>
          <w:sz w:val="22"/>
          <w:szCs w:val="22"/>
        </w:rPr>
        <w:t>.</w:t>
      </w:r>
      <w:r w:rsidR="0018275B" w:rsidRPr="0018275B">
        <w:rPr>
          <w:rFonts w:ascii="Arial" w:hAnsi="Arial" w:cs="Arial"/>
          <w:sz w:val="22"/>
          <w:szCs w:val="22"/>
        </w:rPr>
        <w:t>138</w:t>
      </w:r>
      <w:r w:rsidRPr="0018275B">
        <w:rPr>
          <w:rFonts w:ascii="Arial" w:hAnsi="Arial" w:cs="Arial"/>
          <w:sz w:val="22"/>
          <w:szCs w:val="22"/>
        </w:rPr>
        <w:t xml:space="preserve">, </w:t>
      </w:r>
      <w:r w:rsidR="0018275B" w:rsidRPr="0018275B">
        <w:rPr>
          <w:rFonts w:ascii="Arial" w:hAnsi="Arial" w:cs="Arial"/>
          <w:sz w:val="22"/>
          <w:szCs w:val="22"/>
        </w:rPr>
        <w:t>l’8,0</w:t>
      </w:r>
      <w:r w:rsidR="00E27244" w:rsidRPr="0018275B">
        <w:rPr>
          <w:rFonts w:ascii="Arial" w:hAnsi="Arial" w:cs="Arial"/>
          <w:sz w:val="22"/>
          <w:szCs w:val="22"/>
        </w:rPr>
        <w:t xml:space="preserve">% </w:t>
      </w:r>
      <w:r w:rsidRPr="0018275B">
        <w:rPr>
          <w:rFonts w:ascii="Arial" w:hAnsi="Arial" w:cs="Arial"/>
          <w:sz w:val="22"/>
          <w:szCs w:val="22"/>
        </w:rPr>
        <w:t>delle celebrazioni a livello nazionale nel 202</w:t>
      </w:r>
      <w:r w:rsidR="0018275B" w:rsidRPr="0018275B">
        <w:rPr>
          <w:rFonts w:ascii="Arial" w:hAnsi="Arial" w:cs="Arial"/>
          <w:sz w:val="22"/>
          <w:szCs w:val="22"/>
        </w:rPr>
        <w:t>2</w:t>
      </w:r>
      <w:r w:rsidRPr="0018275B">
        <w:rPr>
          <w:rFonts w:ascii="Arial" w:hAnsi="Arial" w:cs="Arial"/>
          <w:sz w:val="22"/>
          <w:szCs w:val="22"/>
        </w:rPr>
        <w:t xml:space="preserve">). Le donne italiane che hanno scelto un partner straniero sono </w:t>
      </w:r>
      <w:r w:rsidR="0018275B" w:rsidRPr="0018275B">
        <w:rPr>
          <w:rFonts w:ascii="Arial" w:hAnsi="Arial" w:cs="Arial"/>
          <w:sz w:val="22"/>
          <w:szCs w:val="22"/>
        </w:rPr>
        <w:t>5.540</w:t>
      </w:r>
      <w:r w:rsidRPr="0018275B">
        <w:rPr>
          <w:rFonts w:ascii="Arial" w:hAnsi="Arial" w:cs="Arial"/>
          <w:sz w:val="22"/>
          <w:szCs w:val="22"/>
        </w:rPr>
        <w:t xml:space="preserve">, il </w:t>
      </w:r>
      <w:r w:rsidR="00E27244" w:rsidRPr="0018275B">
        <w:rPr>
          <w:rFonts w:ascii="Arial" w:hAnsi="Arial" w:cs="Arial"/>
          <w:sz w:val="22"/>
          <w:szCs w:val="22"/>
        </w:rPr>
        <w:t>2</w:t>
      </w:r>
      <w:r w:rsidRPr="0018275B">
        <w:rPr>
          <w:rFonts w:ascii="Arial" w:hAnsi="Arial" w:cs="Arial"/>
          <w:sz w:val="22"/>
          <w:szCs w:val="22"/>
        </w:rPr>
        <w:t>,</w:t>
      </w:r>
      <w:r w:rsidR="0018275B" w:rsidRPr="0018275B">
        <w:rPr>
          <w:rFonts w:ascii="Arial" w:hAnsi="Arial" w:cs="Arial"/>
          <w:sz w:val="22"/>
          <w:szCs w:val="22"/>
        </w:rPr>
        <w:t>9</w:t>
      </w:r>
      <w:r w:rsidRPr="0018275B">
        <w:rPr>
          <w:rFonts w:ascii="Arial" w:hAnsi="Arial" w:cs="Arial"/>
          <w:sz w:val="22"/>
          <w:szCs w:val="22"/>
        </w:rPr>
        <w:t>% del totale delle spose.</w:t>
      </w:r>
    </w:p>
    <w:p w14:paraId="4E876B22" w14:textId="1A340313" w:rsidR="00F01EEB" w:rsidRDefault="00155D83" w:rsidP="00495E20">
      <w:pPr>
        <w:autoSpaceDE w:val="0"/>
        <w:autoSpaceDN w:val="0"/>
        <w:adjustRightInd w:val="0"/>
        <w:spacing w:after="120"/>
        <w:jc w:val="both"/>
        <w:rPr>
          <w:rFonts w:ascii="Arial" w:hAnsi="Arial" w:cs="Arial"/>
          <w:sz w:val="22"/>
          <w:szCs w:val="22"/>
        </w:rPr>
      </w:pPr>
      <w:r>
        <w:rPr>
          <w:rFonts w:ascii="Arial" w:hAnsi="Arial" w:cs="Arial"/>
          <w:sz w:val="22"/>
          <w:szCs w:val="22"/>
        </w:rPr>
        <w:t xml:space="preserve">La </w:t>
      </w:r>
      <w:r w:rsidR="00A13E33" w:rsidRPr="0018275B">
        <w:rPr>
          <w:rFonts w:ascii="Arial" w:hAnsi="Arial" w:cs="Arial"/>
          <w:sz w:val="22"/>
          <w:szCs w:val="22"/>
        </w:rPr>
        <w:t xml:space="preserve">cittadinanza </w:t>
      </w:r>
      <w:r>
        <w:rPr>
          <w:rFonts w:ascii="Arial" w:hAnsi="Arial" w:cs="Arial"/>
          <w:sz w:val="22"/>
          <w:szCs w:val="22"/>
        </w:rPr>
        <w:t>degli sposi n</w:t>
      </w:r>
      <w:r w:rsidR="005E76D1" w:rsidRPr="0018275B">
        <w:rPr>
          <w:rFonts w:ascii="Arial" w:hAnsi="Arial" w:cs="Arial"/>
          <w:sz w:val="22"/>
          <w:szCs w:val="22"/>
        </w:rPr>
        <w:t xml:space="preserve">ei matrimoni misti </w:t>
      </w:r>
      <w:r>
        <w:rPr>
          <w:rFonts w:ascii="Arial" w:hAnsi="Arial" w:cs="Arial"/>
          <w:sz w:val="22"/>
          <w:szCs w:val="22"/>
        </w:rPr>
        <w:t xml:space="preserve">presenta diversità rispetto al </w:t>
      </w:r>
      <w:r w:rsidR="00A13E33" w:rsidRPr="0018275B">
        <w:rPr>
          <w:rFonts w:ascii="Arial" w:hAnsi="Arial" w:cs="Arial"/>
          <w:sz w:val="22"/>
          <w:szCs w:val="22"/>
        </w:rPr>
        <w:t>genere</w:t>
      </w:r>
      <w:r w:rsidR="00F01EEB" w:rsidRPr="0018275B">
        <w:rPr>
          <w:rFonts w:ascii="Arial" w:hAnsi="Arial" w:cs="Arial"/>
          <w:sz w:val="22"/>
          <w:szCs w:val="22"/>
        </w:rPr>
        <w:t xml:space="preserve">. </w:t>
      </w:r>
      <w:r w:rsidR="00A13E33" w:rsidRPr="0018275B">
        <w:rPr>
          <w:rFonts w:ascii="Arial" w:hAnsi="Arial" w:cs="Arial"/>
          <w:sz w:val="22"/>
          <w:szCs w:val="22"/>
        </w:rPr>
        <w:t>Nel 202</w:t>
      </w:r>
      <w:r w:rsidR="0018275B" w:rsidRPr="0018275B">
        <w:rPr>
          <w:rFonts w:ascii="Arial" w:hAnsi="Arial" w:cs="Arial"/>
          <w:sz w:val="22"/>
          <w:szCs w:val="22"/>
        </w:rPr>
        <w:t>2</w:t>
      </w:r>
      <w:r w:rsidR="00A13E33" w:rsidRPr="0018275B">
        <w:rPr>
          <w:rFonts w:ascii="Arial" w:hAnsi="Arial" w:cs="Arial"/>
          <w:sz w:val="22"/>
          <w:szCs w:val="22"/>
        </w:rPr>
        <w:t xml:space="preserve"> g</w:t>
      </w:r>
      <w:r w:rsidR="00F01EEB" w:rsidRPr="0018275B">
        <w:rPr>
          <w:rFonts w:ascii="Arial" w:hAnsi="Arial" w:cs="Arial"/>
          <w:sz w:val="22"/>
          <w:szCs w:val="22"/>
        </w:rPr>
        <w:t>li uomini italiani hanno sposato una cittadina rumena nel 1</w:t>
      </w:r>
      <w:r w:rsidR="0018275B" w:rsidRPr="0018275B">
        <w:rPr>
          <w:rFonts w:ascii="Arial" w:hAnsi="Arial" w:cs="Arial"/>
          <w:sz w:val="22"/>
          <w:szCs w:val="22"/>
        </w:rPr>
        <w:t>8</w:t>
      </w:r>
      <w:r w:rsidR="00F01EEB" w:rsidRPr="0018275B">
        <w:rPr>
          <w:rFonts w:ascii="Arial" w:hAnsi="Arial" w:cs="Arial"/>
          <w:sz w:val="22"/>
          <w:szCs w:val="22"/>
        </w:rPr>
        <w:t>,</w:t>
      </w:r>
      <w:r w:rsidR="0018275B" w:rsidRPr="0018275B">
        <w:rPr>
          <w:rFonts w:ascii="Arial" w:hAnsi="Arial" w:cs="Arial"/>
          <w:sz w:val="22"/>
          <w:szCs w:val="22"/>
        </w:rPr>
        <w:t>9</w:t>
      </w:r>
      <w:r w:rsidR="00F01EEB" w:rsidRPr="0018275B">
        <w:rPr>
          <w:rFonts w:ascii="Arial" w:hAnsi="Arial" w:cs="Arial"/>
          <w:sz w:val="22"/>
          <w:szCs w:val="22"/>
        </w:rPr>
        <w:t>% dei casi, ucraina nel 1</w:t>
      </w:r>
      <w:r w:rsidR="0018275B" w:rsidRPr="0018275B">
        <w:rPr>
          <w:rFonts w:ascii="Arial" w:hAnsi="Arial" w:cs="Arial"/>
          <w:sz w:val="22"/>
          <w:szCs w:val="22"/>
        </w:rPr>
        <w:t>0</w:t>
      </w:r>
      <w:r w:rsidR="00F01EEB" w:rsidRPr="0018275B">
        <w:rPr>
          <w:rFonts w:ascii="Arial" w:hAnsi="Arial" w:cs="Arial"/>
          <w:sz w:val="22"/>
          <w:szCs w:val="22"/>
        </w:rPr>
        <w:t xml:space="preserve">,2% e russa nel </w:t>
      </w:r>
      <w:r w:rsidR="0018275B" w:rsidRPr="0018275B">
        <w:rPr>
          <w:rFonts w:ascii="Arial" w:hAnsi="Arial" w:cs="Arial"/>
          <w:sz w:val="22"/>
          <w:szCs w:val="22"/>
        </w:rPr>
        <w:t>6,9</w:t>
      </w:r>
      <w:r w:rsidR="00F01EEB" w:rsidRPr="0018275B">
        <w:rPr>
          <w:rFonts w:ascii="Arial" w:hAnsi="Arial" w:cs="Arial"/>
          <w:sz w:val="22"/>
          <w:szCs w:val="22"/>
        </w:rPr>
        <w:t xml:space="preserve">%. Le donne italiane hanno contratto matrimonio più frequentemente </w:t>
      </w:r>
      <w:r w:rsidR="0018275B" w:rsidRPr="0018275B">
        <w:rPr>
          <w:rFonts w:ascii="Arial" w:hAnsi="Arial" w:cs="Arial"/>
          <w:sz w:val="22"/>
          <w:szCs w:val="22"/>
        </w:rPr>
        <w:t xml:space="preserve">con </w:t>
      </w:r>
      <w:r w:rsidR="00A13E33" w:rsidRPr="0018275B">
        <w:rPr>
          <w:rFonts w:ascii="Arial" w:hAnsi="Arial" w:cs="Arial"/>
          <w:sz w:val="22"/>
          <w:szCs w:val="22"/>
        </w:rPr>
        <w:t xml:space="preserve">uno </w:t>
      </w:r>
      <w:r w:rsidR="00F01EEB" w:rsidRPr="0018275B">
        <w:rPr>
          <w:rFonts w:ascii="Arial" w:hAnsi="Arial" w:cs="Arial"/>
          <w:sz w:val="22"/>
          <w:szCs w:val="22"/>
        </w:rPr>
        <w:t>spos</w:t>
      </w:r>
      <w:r w:rsidR="00A13E33" w:rsidRPr="0018275B">
        <w:rPr>
          <w:rFonts w:ascii="Arial" w:hAnsi="Arial" w:cs="Arial"/>
          <w:sz w:val="22"/>
          <w:szCs w:val="22"/>
        </w:rPr>
        <w:t>o</w:t>
      </w:r>
      <w:r w:rsidR="00F01EEB" w:rsidRPr="0018275B">
        <w:rPr>
          <w:rFonts w:ascii="Arial" w:hAnsi="Arial" w:cs="Arial"/>
          <w:sz w:val="22"/>
          <w:szCs w:val="22"/>
        </w:rPr>
        <w:t xml:space="preserve"> </w:t>
      </w:r>
      <w:r w:rsidR="00A13E33" w:rsidRPr="0018275B">
        <w:rPr>
          <w:rFonts w:ascii="Arial" w:hAnsi="Arial" w:cs="Arial"/>
          <w:sz w:val="22"/>
          <w:szCs w:val="22"/>
        </w:rPr>
        <w:t xml:space="preserve">di </w:t>
      </w:r>
      <w:r w:rsidR="00F01EEB" w:rsidRPr="0018275B">
        <w:rPr>
          <w:rFonts w:ascii="Arial" w:hAnsi="Arial" w:cs="Arial"/>
          <w:sz w:val="22"/>
          <w:szCs w:val="22"/>
        </w:rPr>
        <w:t>cittadinanza marocchina (12,</w:t>
      </w:r>
      <w:r w:rsidR="0018275B" w:rsidRPr="0018275B">
        <w:rPr>
          <w:rFonts w:ascii="Arial" w:hAnsi="Arial" w:cs="Arial"/>
          <w:sz w:val="22"/>
          <w:szCs w:val="22"/>
        </w:rPr>
        <w:t>6</w:t>
      </w:r>
      <w:r w:rsidR="00F01EEB" w:rsidRPr="0018275B">
        <w:rPr>
          <w:rFonts w:ascii="Arial" w:hAnsi="Arial" w:cs="Arial"/>
          <w:sz w:val="22"/>
          <w:szCs w:val="22"/>
        </w:rPr>
        <w:t>%) o albanese (</w:t>
      </w:r>
      <w:r w:rsidR="0018275B" w:rsidRPr="0018275B">
        <w:rPr>
          <w:rFonts w:ascii="Arial" w:hAnsi="Arial" w:cs="Arial"/>
          <w:sz w:val="22"/>
          <w:szCs w:val="22"/>
        </w:rPr>
        <w:t>8</w:t>
      </w:r>
      <w:r w:rsidR="00F01EEB" w:rsidRPr="0018275B">
        <w:rPr>
          <w:rFonts w:ascii="Arial" w:hAnsi="Arial" w:cs="Arial"/>
          <w:sz w:val="22"/>
          <w:szCs w:val="22"/>
        </w:rPr>
        <w:t>,</w:t>
      </w:r>
      <w:r w:rsidR="0018275B" w:rsidRPr="0018275B">
        <w:rPr>
          <w:rFonts w:ascii="Arial" w:hAnsi="Arial" w:cs="Arial"/>
          <w:sz w:val="22"/>
          <w:szCs w:val="22"/>
        </w:rPr>
        <w:t>5</w:t>
      </w:r>
      <w:r w:rsidR="00F01EEB" w:rsidRPr="0018275B">
        <w:rPr>
          <w:rFonts w:ascii="Arial" w:hAnsi="Arial" w:cs="Arial"/>
          <w:sz w:val="22"/>
          <w:szCs w:val="22"/>
        </w:rPr>
        <w:t>%).</w:t>
      </w:r>
    </w:p>
    <w:p w14:paraId="5ADAFE39" w14:textId="77777777" w:rsidR="005D4077" w:rsidRPr="00507FC7" w:rsidRDefault="005D4077" w:rsidP="00507FC7">
      <w:pPr>
        <w:autoSpaceDE w:val="0"/>
        <w:autoSpaceDN w:val="0"/>
        <w:adjustRightInd w:val="0"/>
        <w:jc w:val="both"/>
        <w:rPr>
          <w:rFonts w:ascii="Arial" w:hAnsi="Arial" w:cs="Arial"/>
          <w:sz w:val="18"/>
          <w:szCs w:val="18"/>
        </w:rPr>
      </w:pPr>
    </w:p>
    <w:p w14:paraId="0D9ACBE8" w14:textId="3E551D02" w:rsidR="00235A69" w:rsidRPr="00122603" w:rsidRDefault="00235A69" w:rsidP="00235A69">
      <w:pPr>
        <w:rPr>
          <w:rFonts w:ascii="Arial Narrow" w:hAnsi="Arial Narrow" w:cs="Arial"/>
          <w:b/>
          <w:iCs/>
          <w:noProof/>
          <w:color w:val="1F497D" w:themeColor="text2"/>
          <w:sz w:val="22"/>
          <w:szCs w:val="22"/>
        </w:rPr>
      </w:pPr>
      <w:r w:rsidRPr="00122603">
        <w:rPr>
          <w:rFonts w:ascii="Arial Black" w:hAnsi="Arial Black" w:cs="Arial"/>
          <w:iCs/>
          <w:noProof/>
          <w:color w:val="1F497D" w:themeColor="text2"/>
          <w:sz w:val="22"/>
          <w:szCs w:val="22"/>
        </w:rPr>
        <w:t xml:space="preserve">FIGURA </w:t>
      </w:r>
      <w:r w:rsidR="00243905">
        <w:rPr>
          <w:rFonts w:ascii="Arial Black" w:hAnsi="Arial Black" w:cs="Arial"/>
          <w:iCs/>
          <w:noProof/>
          <w:color w:val="1F497D" w:themeColor="text2"/>
          <w:sz w:val="22"/>
          <w:szCs w:val="22"/>
        </w:rPr>
        <w:t>1</w:t>
      </w:r>
      <w:r w:rsidRPr="00122603">
        <w:rPr>
          <w:rFonts w:ascii="Arial Narrow" w:hAnsi="Arial Narrow" w:cs="Arial"/>
          <w:b/>
          <w:iCs/>
          <w:noProof/>
          <w:color w:val="1F497D" w:themeColor="text2"/>
          <w:sz w:val="22"/>
          <w:szCs w:val="22"/>
        </w:rPr>
        <w:t>.</w:t>
      </w:r>
      <w:r w:rsidRPr="00122603">
        <w:t xml:space="preserve"> </w:t>
      </w:r>
      <w:r w:rsidRPr="00122603">
        <w:rPr>
          <w:rFonts w:ascii="Arial Narrow" w:hAnsi="Arial Narrow" w:cs="Arial"/>
          <w:b/>
          <w:iCs/>
          <w:noProof/>
          <w:color w:val="1F497D" w:themeColor="text2"/>
          <w:sz w:val="22"/>
          <w:szCs w:val="22"/>
        </w:rPr>
        <w:t>MATRIMONI CON ALMENO UNO STRANIERO E MATRIMONI SUCCESSIVI AL PRIMO PER REGIONE</w:t>
      </w:r>
      <w:r w:rsidR="005E76D1">
        <w:rPr>
          <w:rFonts w:ascii="Arial Narrow" w:hAnsi="Arial Narrow" w:cs="Arial"/>
          <w:b/>
          <w:iCs/>
          <w:noProof/>
          <w:color w:val="1F497D" w:themeColor="text2"/>
          <w:sz w:val="22"/>
          <w:szCs w:val="22"/>
        </w:rPr>
        <w:t>.</w:t>
      </w:r>
    </w:p>
    <w:p w14:paraId="6E5F1FA9" w14:textId="4BF3693E" w:rsidR="00F01EEB" w:rsidRDefault="00235A69" w:rsidP="00235A69">
      <w:pPr>
        <w:rPr>
          <w:rFonts w:ascii="Arial Narrow" w:hAnsi="Arial Narrow" w:cs="Arial"/>
          <w:iCs/>
          <w:noProof/>
          <w:color w:val="1F497D" w:themeColor="text2"/>
          <w:sz w:val="22"/>
          <w:szCs w:val="22"/>
        </w:rPr>
      </w:pPr>
      <w:r w:rsidRPr="00122603">
        <w:rPr>
          <w:rFonts w:ascii="Arial Narrow" w:hAnsi="Arial Narrow" w:cs="Arial"/>
          <w:iCs/>
          <w:noProof/>
          <w:color w:val="1F497D" w:themeColor="text2"/>
          <w:sz w:val="22"/>
          <w:szCs w:val="22"/>
        </w:rPr>
        <w:t>Anno 20</w:t>
      </w:r>
      <w:r w:rsidR="003C4CD2">
        <w:rPr>
          <w:rFonts w:ascii="Arial Narrow" w:hAnsi="Arial Narrow" w:cs="Arial"/>
          <w:iCs/>
          <w:noProof/>
          <w:color w:val="1F497D" w:themeColor="text2"/>
          <w:sz w:val="22"/>
          <w:szCs w:val="22"/>
        </w:rPr>
        <w:t>2</w:t>
      </w:r>
      <w:r w:rsidR="00016174">
        <w:rPr>
          <w:rFonts w:ascii="Arial Narrow" w:hAnsi="Arial Narrow" w:cs="Arial"/>
          <w:iCs/>
          <w:noProof/>
          <w:color w:val="1F497D" w:themeColor="text2"/>
          <w:sz w:val="22"/>
          <w:szCs w:val="22"/>
        </w:rPr>
        <w:t>2</w:t>
      </w:r>
      <w:r w:rsidRPr="00122603">
        <w:rPr>
          <w:rFonts w:ascii="Arial Narrow" w:hAnsi="Arial Narrow" w:cs="Arial"/>
          <w:iCs/>
          <w:noProof/>
          <w:color w:val="1F497D" w:themeColor="text2"/>
          <w:sz w:val="22"/>
          <w:szCs w:val="22"/>
        </w:rPr>
        <w:t>, valori percentuali</w:t>
      </w:r>
    </w:p>
    <w:p w14:paraId="54193CD9" w14:textId="77777777" w:rsidR="00313FE3" w:rsidRPr="008F4A93" w:rsidRDefault="00313FE3" w:rsidP="00235A69">
      <w:pPr>
        <w:rPr>
          <w:rFonts w:ascii="Arial Narrow" w:hAnsi="Arial Narrow" w:cs="Arial"/>
          <w:b/>
          <w:iCs/>
          <w:noProof/>
          <w:color w:val="1F497D" w:themeColor="text2"/>
          <w:sz w:val="16"/>
          <w:szCs w:val="22"/>
        </w:rPr>
      </w:pPr>
    </w:p>
    <w:p w14:paraId="5C422638" w14:textId="0B85DD1D" w:rsidR="00EA2144" w:rsidRDefault="00016174">
      <w:pPr>
        <w:rPr>
          <w:rFonts w:ascii="Arial Narrow" w:hAnsi="Arial Narrow" w:cs="Arial"/>
          <w:iCs/>
          <w:noProof/>
          <w:color w:val="1F497D" w:themeColor="text2"/>
          <w:sz w:val="22"/>
          <w:szCs w:val="22"/>
        </w:rPr>
      </w:pPr>
      <w:r>
        <w:rPr>
          <w:noProof/>
        </w:rPr>
        <w:drawing>
          <wp:inline distT="0" distB="0" distL="0" distR="0" wp14:anchorId="5E17060F" wp14:editId="0F6FEB29">
            <wp:extent cx="6343650" cy="2305050"/>
            <wp:effectExtent l="0" t="0" r="0" b="0"/>
            <wp:docPr id="4"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Arial Narrow" w:hAnsi="Arial Narrow" w:cs="Arial"/>
          <w:iCs/>
          <w:noProof/>
          <w:color w:val="1F497D" w:themeColor="text2"/>
          <w:sz w:val="22"/>
          <w:szCs w:val="22"/>
        </w:rPr>
        <w:t xml:space="preserve"> </w:t>
      </w:r>
      <w:r w:rsidR="00EA2144">
        <w:rPr>
          <w:rFonts w:ascii="Arial Narrow" w:hAnsi="Arial Narrow" w:cs="Arial"/>
          <w:iCs/>
          <w:noProof/>
          <w:color w:val="1F497D" w:themeColor="text2"/>
          <w:sz w:val="22"/>
          <w:szCs w:val="22"/>
        </w:rPr>
        <w:br w:type="page"/>
      </w:r>
    </w:p>
    <w:p w14:paraId="48440830" w14:textId="54BFAAC9" w:rsidR="00235A69" w:rsidRPr="00507FC7" w:rsidRDefault="00235A69" w:rsidP="00490976">
      <w:pPr>
        <w:spacing w:after="120"/>
        <w:rPr>
          <w:rFonts w:ascii="Arial" w:hAnsi="Arial" w:cs="Arial"/>
          <w:iCs/>
          <w:noProof/>
          <w:color w:val="1F497D" w:themeColor="text2"/>
          <w:sz w:val="22"/>
          <w:szCs w:val="22"/>
        </w:rPr>
      </w:pPr>
    </w:p>
    <w:p w14:paraId="2209F0AF" w14:textId="1EFAAE3E" w:rsidR="00C07DF6" w:rsidRPr="00230ADC" w:rsidRDefault="00230ADC" w:rsidP="00C07DF6">
      <w:pPr>
        <w:spacing w:after="120"/>
        <w:jc w:val="both"/>
        <w:outlineLvl w:val="0"/>
        <w:rPr>
          <w:rFonts w:ascii="Arial" w:hAnsi="Arial" w:cs="Arial"/>
          <w:b/>
          <w:color w:val="1F497D" w:themeColor="text2"/>
          <w:sz w:val="26"/>
          <w:szCs w:val="26"/>
        </w:rPr>
      </w:pPr>
      <w:r w:rsidRPr="00230ADC">
        <w:rPr>
          <w:rFonts w:ascii="Arial" w:hAnsi="Arial" w:cs="Arial"/>
          <w:b/>
          <w:color w:val="1F497D" w:themeColor="text2"/>
          <w:sz w:val="26"/>
          <w:szCs w:val="26"/>
        </w:rPr>
        <w:t>“T</w:t>
      </w:r>
      <w:r w:rsidR="00C07DF6" w:rsidRPr="00230ADC">
        <w:rPr>
          <w:rFonts w:ascii="Arial" w:hAnsi="Arial" w:cs="Arial"/>
          <w:b/>
          <w:color w:val="1F497D" w:themeColor="text2"/>
          <w:sz w:val="26"/>
          <w:szCs w:val="26"/>
        </w:rPr>
        <w:t>urismo matrimoniale”</w:t>
      </w:r>
      <w:r w:rsidRPr="00230ADC">
        <w:rPr>
          <w:rFonts w:ascii="Arial" w:hAnsi="Arial" w:cs="Arial"/>
          <w:b/>
          <w:color w:val="1F497D" w:themeColor="text2"/>
          <w:sz w:val="26"/>
          <w:szCs w:val="26"/>
        </w:rPr>
        <w:t xml:space="preserve"> in ripresa ma ancora non ai livelli pre-pandemia</w:t>
      </w:r>
    </w:p>
    <w:p w14:paraId="3CA285FE" w14:textId="7D3FE66D" w:rsidR="00230ADC" w:rsidRPr="005E4C0F" w:rsidRDefault="002374DD" w:rsidP="00C76837">
      <w:pPr>
        <w:autoSpaceDE w:val="0"/>
        <w:autoSpaceDN w:val="0"/>
        <w:adjustRightInd w:val="0"/>
        <w:spacing w:after="120"/>
        <w:jc w:val="both"/>
        <w:rPr>
          <w:rFonts w:ascii="Arial" w:hAnsi="Arial" w:cs="Arial"/>
          <w:sz w:val="22"/>
          <w:szCs w:val="22"/>
        </w:rPr>
      </w:pPr>
      <w:r w:rsidRPr="00722406">
        <w:rPr>
          <w:rFonts w:ascii="Arial" w:hAnsi="Arial" w:cs="Arial"/>
          <w:sz w:val="22"/>
          <w:szCs w:val="22"/>
        </w:rPr>
        <w:t>Il nostro Paese esercita un</w:t>
      </w:r>
      <w:r w:rsidR="007A390C" w:rsidRPr="00722406">
        <w:rPr>
          <w:rFonts w:ascii="Arial" w:hAnsi="Arial" w:cs="Arial"/>
          <w:sz w:val="22"/>
          <w:szCs w:val="22"/>
        </w:rPr>
        <w:t xml:space="preserve">a forte </w:t>
      </w:r>
      <w:r w:rsidRPr="00722406">
        <w:rPr>
          <w:rFonts w:ascii="Arial" w:hAnsi="Arial" w:cs="Arial"/>
          <w:sz w:val="22"/>
          <w:szCs w:val="22"/>
        </w:rPr>
        <w:t xml:space="preserve">attrazione per numerosi cittadini provenienti </w:t>
      </w:r>
      <w:r w:rsidR="00A13E33" w:rsidRPr="00722406">
        <w:rPr>
          <w:rFonts w:ascii="Arial" w:hAnsi="Arial" w:cs="Arial"/>
          <w:sz w:val="22"/>
          <w:szCs w:val="22"/>
        </w:rPr>
        <w:t xml:space="preserve">dall’estero, </w:t>
      </w:r>
      <w:r w:rsidRPr="00722406">
        <w:rPr>
          <w:rFonts w:ascii="Arial" w:hAnsi="Arial" w:cs="Arial"/>
          <w:sz w:val="22"/>
          <w:szCs w:val="22"/>
        </w:rPr>
        <w:t xml:space="preserve">soprattutto da </w:t>
      </w:r>
      <w:r w:rsidR="001348D8">
        <w:rPr>
          <w:rFonts w:ascii="Arial" w:hAnsi="Arial" w:cs="Arial"/>
          <w:sz w:val="22"/>
          <w:szCs w:val="22"/>
        </w:rPr>
        <w:t>p</w:t>
      </w:r>
      <w:r w:rsidR="00155D83" w:rsidRPr="00722406">
        <w:rPr>
          <w:rFonts w:ascii="Arial" w:hAnsi="Arial" w:cs="Arial"/>
          <w:sz w:val="22"/>
          <w:szCs w:val="22"/>
        </w:rPr>
        <w:t xml:space="preserve">aesi </w:t>
      </w:r>
      <w:r w:rsidRPr="00722406">
        <w:rPr>
          <w:rFonts w:ascii="Arial" w:hAnsi="Arial" w:cs="Arial"/>
          <w:sz w:val="22"/>
          <w:szCs w:val="22"/>
        </w:rPr>
        <w:t>a sviluppo avanzato</w:t>
      </w:r>
      <w:r w:rsidR="00A13E33" w:rsidRPr="00722406">
        <w:rPr>
          <w:rFonts w:ascii="Arial" w:hAnsi="Arial" w:cs="Arial"/>
          <w:sz w:val="22"/>
          <w:szCs w:val="22"/>
        </w:rPr>
        <w:t>,</w:t>
      </w:r>
      <w:r w:rsidRPr="00722406">
        <w:rPr>
          <w:rFonts w:ascii="Arial" w:hAnsi="Arial" w:cs="Arial"/>
          <w:sz w:val="22"/>
          <w:szCs w:val="22"/>
        </w:rPr>
        <w:t xml:space="preserve"> che scelgono l’Italia come luogo di celebrazione delle nozze. </w:t>
      </w:r>
      <w:r w:rsidR="005E4C0F" w:rsidRPr="00722406">
        <w:rPr>
          <w:rFonts w:ascii="Arial" w:hAnsi="Arial" w:cs="Arial"/>
          <w:sz w:val="22"/>
          <w:szCs w:val="22"/>
        </w:rPr>
        <w:t xml:space="preserve">Nel 2022 </w:t>
      </w:r>
      <w:r w:rsidR="00155D83">
        <w:rPr>
          <w:rFonts w:ascii="Arial" w:hAnsi="Arial" w:cs="Arial"/>
          <w:sz w:val="22"/>
          <w:szCs w:val="22"/>
        </w:rPr>
        <w:t xml:space="preserve">si rilevano </w:t>
      </w:r>
      <w:r w:rsidR="005E4C0F" w:rsidRPr="00722406">
        <w:rPr>
          <w:rFonts w:ascii="Arial" w:hAnsi="Arial" w:cs="Arial"/>
          <w:sz w:val="22"/>
          <w:szCs w:val="22"/>
        </w:rPr>
        <w:t>3.754 nozze</w:t>
      </w:r>
      <w:r w:rsidR="00722406" w:rsidRPr="00722406">
        <w:rPr>
          <w:rFonts w:ascii="Arial" w:hAnsi="Arial" w:cs="Arial"/>
          <w:sz w:val="22"/>
          <w:szCs w:val="22"/>
        </w:rPr>
        <w:t xml:space="preserve"> </w:t>
      </w:r>
      <w:r w:rsidR="00155D83">
        <w:rPr>
          <w:rFonts w:ascii="Arial" w:hAnsi="Arial" w:cs="Arial"/>
          <w:sz w:val="22"/>
          <w:szCs w:val="22"/>
        </w:rPr>
        <w:t xml:space="preserve">tra sposi </w:t>
      </w:r>
      <w:r w:rsidR="00722406" w:rsidRPr="00722406">
        <w:rPr>
          <w:rFonts w:ascii="Arial" w:hAnsi="Arial" w:cs="Arial"/>
          <w:sz w:val="22"/>
          <w:szCs w:val="22"/>
        </w:rPr>
        <w:t xml:space="preserve">entrambi stranieri </w:t>
      </w:r>
      <w:r w:rsidR="00155D83">
        <w:rPr>
          <w:rFonts w:ascii="Arial" w:hAnsi="Arial" w:cs="Arial"/>
          <w:sz w:val="22"/>
          <w:szCs w:val="22"/>
        </w:rPr>
        <w:t xml:space="preserve">e </w:t>
      </w:r>
      <w:r w:rsidR="00722406" w:rsidRPr="00722406">
        <w:rPr>
          <w:rFonts w:ascii="Arial" w:hAnsi="Arial" w:cs="Arial"/>
          <w:sz w:val="22"/>
          <w:szCs w:val="22"/>
        </w:rPr>
        <w:t>non residenti</w:t>
      </w:r>
      <w:r w:rsidR="00155D83">
        <w:rPr>
          <w:rFonts w:ascii="Arial" w:hAnsi="Arial" w:cs="Arial"/>
          <w:sz w:val="22"/>
          <w:szCs w:val="22"/>
        </w:rPr>
        <w:t xml:space="preserve">. Un dato, questo, </w:t>
      </w:r>
      <w:r w:rsidR="005E4C0F" w:rsidRPr="00722406">
        <w:rPr>
          <w:rFonts w:ascii="Arial" w:hAnsi="Arial" w:cs="Arial"/>
          <w:sz w:val="22"/>
          <w:szCs w:val="22"/>
        </w:rPr>
        <w:t>più che raddoppiat</w:t>
      </w:r>
      <w:r w:rsidR="00155D83">
        <w:rPr>
          <w:rFonts w:ascii="Arial" w:hAnsi="Arial" w:cs="Arial"/>
          <w:sz w:val="22"/>
          <w:szCs w:val="22"/>
        </w:rPr>
        <w:t>o</w:t>
      </w:r>
      <w:r w:rsidR="005E4C0F" w:rsidRPr="00722406">
        <w:rPr>
          <w:rFonts w:ascii="Arial" w:hAnsi="Arial" w:cs="Arial"/>
          <w:sz w:val="22"/>
          <w:szCs w:val="22"/>
        </w:rPr>
        <w:t xml:space="preserve"> rispetto al</w:t>
      </w:r>
      <w:r w:rsidR="00155D83">
        <w:rPr>
          <w:rFonts w:ascii="Arial" w:hAnsi="Arial" w:cs="Arial"/>
          <w:sz w:val="22"/>
          <w:szCs w:val="22"/>
        </w:rPr>
        <w:t xml:space="preserve"> 2021</w:t>
      </w:r>
      <w:r w:rsidR="005E4C0F" w:rsidRPr="00722406">
        <w:rPr>
          <w:rFonts w:ascii="Arial" w:hAnsi="Arial" w:cs="Arial"/>
          <w:sz w:val="22"/>
          <w:szCs w:val="22"/>
        </w:rPr>
        <w:t xml:space="preserve"> ma ancora </w:t>
      </w:r>
      <w:r w:rsidR="00155D83">
        <w:rPr>
          <w:rFonts w:ascii="Arial" w:hAnsi="Arial" w:cs="Arial"/>
          <w:sz w:val="22"/>
          <w:szCs w:val="22"/>
        </w:rPr>
        <w:t xml:space="preserve">distante </w:t>
      </w:r>
      <w:r w:rsidR="005E4C0F" w:rsidRPr="00722406">
        <w:rPr>
          <w:rFonts w:ascii="Arial" w:hAnsi="Arial" w:cs="Arial"/>
          <w:sz w:val="22"/>
          <w:szCs w:val="22"/>
        </w:rPr>
        <w:t>d</w:t>
      </w:r>
      <w:r w:rsidR="00155D83">
        <w:rPr>
          <w:rFonts w:ascii="Arial" w:hAnsi="Arial" w:cs="Arial"/>
          <w:sz w:val="22"/>
          <w:szCs w:val="22"/>
        </w:rPr>
        <w:t>a</w:t>
      </w:r>
      <w:r w:rsidR="005E4C0F" w:rsidRPr="00722406">
        <w:rPr>
          <w:rFonts w:ascii="Arial" w:hAnsi="Arial" w:cs="Arial"/>
          <w:sz w:val="22"/>
          <w:szCs w:val="22"/>
        </w:rPr>
        <w:t>i livelli pre-pandemia (-8,3</w:t>
      </w:r>
      <w:r w:rsidR="00155D83">
        <w:rPr>
          <w:rFonts w:ascii="Arial" w:hAnsi="Arial" w:cs="Arial"/>
          <w:sz w:val="22"/>
          <w:szCs w:val="22"/>
        </w:rPr>
        <w:t>%</w:t>
      </w:r>
      <w:r w:rsidR="005E4C0F" w:rsidRPr="00722406">
        <w:rPr>
          <w:rFonts w:ascii="Arial" w:hAnsi="Arial" w:cs="Arial"/>
          <w:sz w:val="22"/>
          <w:szCs w:val="22"/>
        </w:rPr>
        <w:t xml:space="preserve"> rispetto al 2019). Infatti, a</w:t>
      </w:r>
      <w:r w:rsidR="00DA1CBF" w:rsidRPr="00722406">
        <w:rPr>
          <w:rFonts w:ascii="Arial" w:hAnsi="Arial" w:cs="Arial"/>
          <w:sz w:val="22"/>
          <w:szCs w:val="22"/>
        </w:rPr>
        <w:t xml:space="preserve"> partire dal</w:t>
      </w:r>
      <w:r w:rsidR="007A390C" w:rsidRPr="00722406">
        <w:rPr>
          <w:rFonts w:ascii="Arial" w:hAnsi="Arial" w:cs="Arial"/>
          <w:sz w:val="22"/>
          <w:szCs w:val="22"/>
        </w:rPr>
        <w:t xml:space="preserve"> </w:t>
      </w:r>
      <w:r w:rsidRPr="00722406">
        <w:rPr>
          <w:rFonts w:ascii="Arial" w:hAnsi="Arial" w:cs="Arial"/>
          <w:sz w:val="22"/>
          <w:szCs w:val="22"/>
        </w:rPr>
        <w:t xml:space="preserve">2020 </w:t>
      </w:r>
      <w:r w:rsidR="007A390C" w:rsidRPr="00722406">
        <w:rPr>
          <w:rFonts w:ascii="Arial" w:hAnsi="Arial" w:cs="Arial"/>
          <w:sz w:val="22"/>
          <w:szCs w:val="22"/>
        </w:rPr>
        <w:t xml:space="preserve">questa tipologia di </w:t>
      </w:r>
      <w:r w:rsidR="00542535" w:rsidRPr="00722406">
        <w:rPr>
          <w:rFonts w:ascii="Arial" w:hAnsi="Arial" w:cs="Arial"/>
          <w:sz w:val="22"/>
          <w:szCs w:val="22"/>
        </w:rPr>
        <w:t>nozze</w:t>
      </w:r>
      <w:r w:rsidR="007A390C" w:rsidRPr="00722406">
        <w:rPr>
          <w:rFonts w:ascii="Arial" w:hAnsi="Arial" w:cs="Arial"/>
          <w:sz w:val="22"/>
          <w:szCs w:val="22"/>
        </w:rPr>
        <w:t xml:space="preserve"> </w:t>
      </w:r>
      <w:r w:rsidR="00C52701" w:rsidRPr="00722406">
        <w:rPr>
          <w:rFonts w:ascii="Arial" w:hAnsi="Arial" w:cs="Arial"/>
          <w:sz w:val="22"/>
          <w:szCs w:val="22"/>
        </w:rPr>
        <w:t>(</w:t>
      </w:r>
      <w:r w:rsidR="007A390C" w:rsidRPr="00722406">
        <w:rPr>
          <w:rFonts w:ascii="Arial" w:hAnsi="Arial" w:cs="Arial"/>
          <w:sz w:val="22"/>
          <w:szCs w:val="22"/>
        </w:rPr>
        <w:t xml:space="preserve">coppie di entrambi stranieri </w:t>
      </w:r>
      <w:r w:rsidR="00155D83">
        <w:rPr>
          <w:rFonts w:ascii="Arial" w:hAnsi="Arial" w:cs="Arial"/>
          <w:sz w:val="22"/>
          <w:szCs w:val="22"/>
        </w:rPr>
        <w:t xml:space="preserve">e non </w:t>
      </w:r>
      <w:r w:rsidR="007A390C" w:rsidRPr="00722406">
        <w:rPr>
          <w:rFonts w:ascii="Arial" w:hAnsi="Arial" w:cs="Arial"/>
          <w:sz w:val="22"/>
          <w:szCs w:val="22"/>
        </w:rPr>
        <w:t>resident</w:t>
      </w:r>
      <w:r w:rsidR="00155D83">
        <w:rPr>
          <w:rFonts w:ascii="Arial" w:hAnsi="Arial" w:cs="Arial"/>
          <w:sz w:val="22"/>
          <w:szCs w:val="22"/>
        </w:rPr>
        <w:t>i</w:t>
      </w:r>
      <w:r w:rsidR="007A390C" w:rsidRPr="00722406">
        <w:rPr>
          <w:rFonts w:ascii="Arial" w:hAnsi="Arial" w:cs="Arial"/>
          <w:sz w:val="22"/>
          <w:szCs w:val="22"/>
        </w:rPr>
        <w:t xml:space="preserve">) ha subito una consistente flessione </w:t>
      </w:r>
      <w:r w:rsidRPr="00722406">
        <w:rPr>
          <w:rFonts w:ascii="Arial" w:hAnsi="Arial" w:cs="Arial"/>
          <w:sz w:val="22"/>
          <w:szCs w:val="22"/>
        </w:rPr>
        <w:t>a causa delle restrizioni imposte alla mobilità internazionale</w:t>
      </w:r>
      <w:r w:rsidR="007A390C" w:rsidRPr="00722406">
        <w:rPr>
          <w:rFonts w:ascii="Arial" w:hAnsi="Arial" w:cs="Arial"/>
          <w:sz w:val="22"/>
          <w:szCs w:val="22"/>
        </w:rPr>
        <w:t xml:space="preserve">, passando dai 4.094 del 2019 ai 918 del 2020 </w:t>
      </w:r>
      <w:r w:rsidRPr="00722406">
        <w:rPr>
          <w:rFonts w:ascii="Arial" w:hAnsi="Arial" w:cs="Arial"/>
          <w:sz w:val="22"/>
          <w:szCs w:val="22"/>
        </w:rPr>
        <w:t>(-77,6%)</w:t>
      </w:r>
      <w:r w:rsidR="005E4C0F" w:rsidRPr="00722406">
        <w:rPr>
          <w:rFonts w:ascii="Arial" w:hAnsi="Arial" w:cs="Arial"/>
          <w:sz w:val="22"/>
          <w:szCs w:val="22"/>
        </w:rPr>
        <w:t>; nel 2021 si è avviata una fase di ripresa (</w:t>
      </w:r>
      <w:r w:rsidR="00DA1CBF" w:rsidRPr="00722406">
        <w:rPr>
          <w:rFonts w:ascii="Arial" w:hAnsi="Arial" w:cs="Arial"/>
          <w:sz w:val="22"/>
          <w:szCs w:val="22"/>
        </w:rPr>
        <w:t>1</w:t>
      </w:r>
      <w:r w:rsidR="002E649A" w:rsidRPr="00722406">
        <w:rPr>
          <w:rFonts w:ascii="Arial" w:hAnsi="Arial" w:cs="Arial"/>
          <w:sz w:val="22"/>
          <w:szCs w:val="22"/>
        </w:rPr>
        <w:t>.</w:t>
      </w:r>
      <w:r w:rsidR="00542535" w:rsidRPr="00722406">
        <w:rPr>
          <w:rFonts w:ascii="Arial" w:hAnsi="Arial" w:cs="Arial"/>
          <w:sz w:val="22"/>
          <w:szCs w:val="22"/>
        </w:rPr>
        <w:t>574</w:t>
      </w:r>
      <w:r w:rsidR="00DA1CBF" w:rsidRPr="00722406">
        <w:rPr>
          <w:rFonts w:ascii="Arial" w:hAnsi="Arial" w:cs="Arial"/>
          <w:sz w:val="22"/>
          <w:szCs w:val="22"/>
        </w:rPr>
        <w:t>)</w:t>
      </w:r>
      <w:r w:rsidR="005E4C0F" w:rsidRPr="00722406">
        <w:rPr>
          <w:rFonts w:ascii="Arial" w:hAnsi="Arial" w:cs="Arial"/>
          <w:sz w:val="22"/>
          <w:szCs w:val="22"/>
        </w:rPr>
        <w:t xml:space="preserve"> consolidatasi poi nel 2022</w:t>
      </w:r>
      <w:r w:rsidR="00DA1CBF" w:rsidRPr="00722406">
        <w:rPr>
          <w:rFonts w:ascii="Arial" w:hAnsi="Arial" w:cs="Arial"/>
          <w:sz w:val="22"/>
          <w:szCs w:val="22"/>
        </w:rPr>
        <w:t>.</w:t>
      </w:r>
    </w:p>
    <w:p w14:paraId="05434B79" w14:textId="1DDC6518" w:rsidR="00230ADC" w:rsidRPr="00230ADC" w:rsidRDefault="00481C60" w:rsidP="00C76837">
      <w:pPr>
        <w:autoSpaceDE w:val="0"/>
        <w:autoSpaceDN w:val="0"/>
        <w:adjustRightInd w:val="0"/>
        <w:spacing w:after="120"/>
        <w:jc w:val="both"/>
        <w:rPr>
          <w:rFonts w:ascii="Arial" w:hAnsi="Arial" w:cs="Arial"/>
          <w:sz w:val="22"/>
          <w:szCs w:val="22"/>
        </w:rPr>
      </w:pPr>
      <w:r w:rsidRPr="00230ADC">
        <w:rPr>
          <w:rFonts w:ascii="Arial" w:hAnsi="Arial" w:cs="Arial"/>
          <w:sz w:val="22"/>
          <w:szCs w:val="22"/>
        </w:rPr>
        <w:t>I</w:t>
      </w:r>
      <w:r w:rsidR="00A13E33" w:rsidRPr="00230ADC">
        <w:rPr>
          <w:rFonts w:ascii="Arial" w:hAnsi="Arial" w:cs="Arial"/>
          <w:sz w:val="22"/>
          <w:szCs w:val="22"/>
        </w:rPr>
        <w:t xml:space="preserve"> </w:t>
      </w:r>
      <w:r w:rsidR="009744E1" w:rsidRPr="00230ADC">
        <w:rPr>
          <w:rFonts w:ascii="Arial" w:hAnsi="Arial" w:cs="Arial"/>
          <w:sz w:val="22"/>
          <w:szCs w:val="22"/>
        </w:rPr>
        <w:t xml:space="preserve">matrimoni </w:t>
      </w:r>
      <w:r w:rsidR="00A13E33" w:rsidRPr="00230ADC">
        <w:rPr>
          <w:rFonts w:ascii="Arial" w:hAnsi="Arial" w:cs="Arial"/>
          <w:sz w:val="22"/>
          <w:szCs w:val="22"/>
        </w:rPr>
        <w:t>tra</w:t>
      </w:r>
      <w:r w:rsidR="009744E1" w:rsidRPr="00230ADC">
        <w:rPr>
          <w:rFonts w:ascii="Arial" w:hAnsi="Arial" w:cs="Arial"/>
          <w:sz w:val="22"/>
          <w:szCs w:val="22"/>
        </w:rPr>
        <w:t xml:space="preserve"> stranieri in cui almeno uno dei due sposi </w:t>
      </w:r>
      <w:r w:rsidR="00A13E33" w:rsidRPr="00230ADC">
        <w:rPr>
          <w:rFonts w:ascii="Arial" w:hAnsi="Arial" w:cs="Arial"/>
          <w:sz w:val="22"/>
          <w:szCs w:val="22"/>
        </w:rPr>
        <w:t>risulti</w:t>
      </w:r>
      <w:r w:rsidR="009744E1" w:rsidRPr="00230ADC">
        <w:rPr>
          <w:rFonts w:ascii="Arial" w:hAnsi="Arial" w:cs="Arial"/>
          <w:sz w:val="22"/>
          <w:szCs w:val="22"/>
        </w:rPr>
        <w:t xml:space="preserve"> residente in Italia (depura</w:t>
      </w:r>
      <w:r w:rsidR="00EE67B7" w:rsidRPr="00230ADC">
        <w:rPr>
          <w:rFonts w:ascii="Arial" w:hAnsi="Arial" w:cs="Arial"/>
          <w:sz w:val="22"/>
          <w:szCs w:val="22"/>
        </w:rPr>
        <w:t>ti quindi dal</w:t>
      </w:r>
      <w:r w:rsidR="009744E1" w:rsidRPr="00230ADC">
        <w:rPr>
          <w:rFonts w:ascii="Arial" w:hAnsi="Arial" w:cs="Arial"/>
          <w:sz w:val="22"/>
          <w:szCs w:val="22"/>
        </w:rPr>
        <w:t>l’effetto del “turismo matrimoniale”) nel 202</w:t>
      </w:r>
      <w:r w:rsidR="00230ADC" w:rsidRPr="00230ADC">
        <w:rPr>
          <w:rFonts w:ascii="Arial" w:hAnsi="Arial" w:cs="Arial"/>
          <w:sz w:val="22"/>
          <w:szCs w:val="22"/>
        </w:rPr>
        <w:t>2</w:t>
      </w:r>
      <w:r w:rsidR="009744E1" w:rsidRPr="00230ADC">
        <w:rPr>
          <w:rFonts w:ascii="Arial" w:hAnsi="Arial" w:cs="Arial"/>
          <w:sz w:val="22"/>
          <w:szCs w:val="22"/>
        </w:rPr>
        <w:t xml:space="preserve"> sono stat</w:t>
      </w:r>
      <w:r w:rsidRPr="00230ADC">
        <w:rPr>
          <w:rFonts w:ascii="Arial" w:hAnsi="Arial" w:cs="Arial"/>
          <w:sz w:val="22"/>
          <w:szCs w:val="22"/>
        </w:rPr>
        <w:t>i</w:t>
      </w:r>
      <w:r w:rsidR="002374DD" w:rsidRPr="00230ADC">
        <w:rPr>
          <w:rFonts w:ascii="Arial" w:hAnsi="Arial" w:cs="Arial"/>
          <w:sz w:val="22"/>
          <w:szCs w:val="22"/>
        </w:rPr>
        <w:t xml:space="preserve"> </w:t>
      </w:r>
      <w:r w:rsidR="00230ADC" w:rsidRPr="00230ADC">
        <w:rPr>
          <w:rFonts w:ascii="Arial" w:hAnsi="Arial" w:cs="Arial"/>
          <w:sz w:val="22"/>
          <w:szCs w:val="22"/>
        </w:rPr>
        <w:t>5</w:t>
      </w:r>
      <w:r w:rsidR="002374DD" w:rsidRPr="00230ADC">
        <w:rPr>
          <w:rFonts w:ascii="Arial" w:hAnsi="Arial" w:cs="Arial"/>
          <w:sz w:val="22"/>
          <w:szCs w:val="22"/>
        </w:rPr>
        <w:t>.</w:t>
      </w:r>
      <w:r w:rsidR="00230ADC" w:rsidRPr="00230ADC">
        <w:rPr>
          <w:rFonts w:ascii="Arial" w:hAnsi="Arial" w:cs="Arial"/>
          <w:sz w:val="22"/>
          <w:szCs w:val="22"/>
        </w:rPr>
        <w:t>142 (+14,1% rispetto all’anno precedente)</w:t>
      </w:r>
      <w:r w:rsidR="00DA1CBF" w:rsidRPr="00230ADC">
        <w:rPr>
          <w:rFonts w:ascii="Arial" w:hAnsi="Arial" w:cs="Arial"/>
          <w:sz w:val="22"/>
          <w:szCs w:val="22"/>
        </w:rPr>
        <w:t xml:space="preserve">. </w:t>
      </w:r>
      <w:r w:rsidR="00641F9F" w:rsidRPr="00230ADC">
        <w:rPr>
          <w:rFonts w:ascii="Arial" w:hAnsi="Arial" w:cs="Arial"/>
          <w:sz w:val="22"/>
          <w:szCs w:val="22"/>
        </w:rPr>
        <w:t>I</w:t>
      </w:r>
      <w:r w:rsidR="002374DD" w:rsidRPr="00230ADC">
        <w:rPr>
          <w:rFonts w:ascii="Arial" w:hAnsi="Arial" w:cs="Arial"/>
          <w:sz w:val="22"/>
          <w:szCs w:val="22"/>
        </w:rPr>
        <w:t xml:space="preserve"> più diffusi sono </w:t>
      </w:r>
      <w:r w:rsidR="007A390C" w:rsidRPr="00230ADC">
        <w:rPr>
          <w:rFonts w:ascii="Arial" w:hAnsi="Arial" w:cs="Arial"/>
          <w:sz w:val="22"/>
          <w:szCs w:val="22"/>
        </w:rPr>
        <w:t xml:space="preserve">quelli </w:t>
      </w:r>
      <w:r w:rsidR="002374DD" w:rsidRPr="00230ADC">
        <w:rPr>
          <w:rFonts w:ascii="Arial" w:hAnsi="Arial" w:cs="Arial"/>
          <w:sz w:val="22"/>
          <w:szCs w:val="22"/>
        </w:rPr>
        <w:t>tra</w:t>
      </w:r>
      <w:r w:rsidR="007A390C" w:rsidRPr="00230ADC">
        <w:rPr>
          <w:rFonts w:ascii="Arial" w:hAnsi="Arial" w:cs="Arial"/>
          <w:sz w:val="22"/>
          <w:szCs w:val="22"/>
        </w:rPr>
        <w:t xml:space="preserve"> cittadini</w:t>
      </w:r>
      <w:r w:rsidR="002374DD" w:rsidRPr="00230ADC">
        <w:rPr>
          <w:rFonts w:ascii="Arial" w:hAnsi="Arial" w:cs="Arial"/>
          <w:sz w:val="22"/>
          <w:szCs w:val="22"/>
        </w:rPr>
        <w:t xml:space="preserve"> rumeni (</w:t>
      </w:r>
      <w:r w:rsidR="008657F8" w:rsidRPr="00230ADC">
        <w:rPr>
          <w:rFonts w:ascii="Arial" w:hAnsi="Arial" w:cs="Arial"/>
          <w:sz w:val="22"/>
          <w:szCs w:val="22"/>
        </w:rPr>
        <w:t>1</w:t>
      </w:r>
      <w:r w:rsidR="002E649A" w:rsidRPr="00230ADC">
        <w:rPr>
          <w:rFonts w:ascii="Arial" w:hAnsi="Arial" w:cs="Arial"/>
          <w:sz w:val="22"/>
          <w:szCs w:val="22"/>
        </w:rPr>
        <w:t>.</w:t>
      </w:r>
      <w:r w:rsidR="00230ADC" w:rsidRPr="00230ADC">
        <w:rPr>
          <w:rFonts w:ascii="Arial" w:hAnsi="Arial" w:cs="Arial"/>
          <w:sz w:val="22"/>
          <w:szCs w:val="22"/>
        </w:rPr>
        <w:t>207</w:t>
      </w:r>
      <w:r w:rsidR="006529D0" w:rsidRPr="00230ADC">
        <w:rPr>
          <w:rFonts w:ascii="Arial" w:hAnsi="Arial" w:cs="Arial"/>
          <w:sz w:val="22"/>
          <w:szCs w:val="22"/>
        </w:rPr>
        <w:t xml:space="preserve"> nel 20</w:t>
      </w:r>
      <w:r w:rsidR="002374DD" w:rsidRPr="00230ADC">
        <w:rPr>
          <w:rFonts w:ascii="Arial" w:hAnsi="Arial" w:cs="Arial"/>
          <w:sz w:val="22"/>
          <w:szCs w:val="22"/>
        </w:rPr>
        <w:t>2</w:t>
      </w:r>
      <w:r w:rsidR="00230ADC" w:rsidRPr="00230ADC">
        <w:rPr>
          <w:rFonts w:ascii="Arial" w:hAnsi="Arial" w:cs="Arial"/>
          <w:sz w:val="22"/>
          <w:szCs w:val="22"/>
        </w:rPr>
        <w:t>2</w:t>
      </w:r>
      <w:r w:rsidRPr="00230ADC">
        <w:rPr>
          <w:rFonts w:ascii="Arial" w:hAnsi="Arial" w:cs="Arial"/>
          <w:sz w:val="22"/>
          <w:szCs w:val="22"/>
        </w:rPr>
        <w:t>;</w:t>
      </w:r>
      <w:r w:rsidR="002374DD" w:rsidRPr="00230ADC">
        <w:rPr>
          <w:rFonts w:ascii="Arial" w:hAnsi="Arial" w:cs="Arial"/>
          <w:sz w:val="22"/>
          <w:szCs w:val="22"/>
        </w:rPr>
        <w:t xml:space="preserve"> 2</w:t>
      </w:r>
      <w:r w:rsidR="00230ADC" w:rsidRPr="00230ADC">
        <w:rPr>
          <w:rFonts w:ascii="Arial" w:hAnsi="Arial" w:cs="Arial"/>
          <w:sz w:val="22"/>
          <w:szCs w:val="22"/>
        </w:rPr>
        <w:t>3</w:t>
      </w:r>
      <w:r w:rsidR="002374DD" w:rsidRPr="00230ADC">
        <w:rPr>
          <w:rFonts w:ascii="Arial" w:hAnsi="Arial" w:cs="Arial"/>
          <w:sz w:val="22"/>
          <w:szCs w:val="22"/>
        </w:rPr>
        <w:t>,</w:t>
      </w:r>
      <w:r w:rsidR="00230ADC" w:rsidRPr="00230ADC">
        <w:rPr>
          <w:rFonts w:ascii="Arial" w:hAnsi="Arial" w:cs="Arial"/>
          <w:sz w:val="22"/>
          <w:szCs w:val="22"/>
        </w:rPr>
        <w:t>5</w:t>
      </w:r>
      <w:r w:rsidR="002374DD" w:rsidRPr="00230ADC">
        <w:rPr>
          <w:rFonts w:ascii="Arial" w:hAnsi="Arial" w:cs="Arial"/>
          <w:sz w:val="22"/>
          <w:szCs w:val="22"/>
        </w:rPr>
        <w:t>% dei matrimoni tra sposi stranieri residenti)</w:t>
      </w:r>
      <w:r w:rsidR="008657F8" w:rsidRPr="00230ADC">
        <w:rPr>
          <w:rFonts w:ascii="Arial" w:hAnsi="Arial" w:cs="Arial"/>
          <w:sz w:val="22"/>
          <w:szCs w:val="22"/>
        </w:rPr>
        <w:t xml:space="preserve"> e quelli tra</w:t>
      </w:r>
      <w:r w:rsidR="002374DD" w:rsidRPr="00230ADC">
        <w:rPr>
          <w:rFonts w:ascii="Arial" w:hAnsi="Arial" w:cs="Arial"/>
          <w:sz w:val="22"/>
          <w:szCs w:val="22"/>
        </w:rPr>
        <w:t xml:space="preserve"> nigeriani (</w:t>
      </w:r>
      <w:r w:rsidR="008657F8" w:rsidRPr="00230ADC">
        <w:rPr>
          <w:rFonts w:ascii="Arial" w:hAnsi="Arial" w:cs="Arial"/>
          <w:sz w:val="22"/>
          <w:szCs w:val="22"/>
        </w:rPr>
        <w:t>8</w:t>
      </w:r>
      <w:r w:rsidR="00230ADC" w:rsidRPr="00230ADC">
        <w:rPr>
          <w:rFonts w:ascii="Arial" w:hAnsi="Arial" w:cs="Arial"/>
          <w:sz w:val="22"/>
          <w:szCs w:val="22"/>
        </w:rPr>
        <w:t>87</w:t>
      </w:r>
      <w:r w:rsidRPr="00230ADC">
        <w:rPr>
          <w:rFonts w:ascii="Arial" w:hAnsi="Arial" w:cs="Arial"/>
          <w:sz w:val="22"/>
          <w:szCs w:val="22"/>
        </w:rPr>
        <w:t>;</w:t>
      </w:r>
      <w:r w:rsidR="002374DD" w:rsidRPr="00230ADC">
        <w:rPr>
          <w:rFonts w:ascii="Arial" w:hAnsi="Arial" w:cs="Arial"/>
          <w:sz w:val="22"/>
          <w:szCs w:val="22"/>
        </w:rPr>
        <w:t xml:space="preserve"> 1</w:t>
      </w:r>
      <w:r w:rsidR="00230ADC" w:rsidRPr="00230ADC">
        <w:rPr>
          <w:rFonts w:ascii="Arial" w:hAnsi="Arial" w:cs="Arial"/>
          <w:sz w:val="22"/>
          <w:szCs w:val="22"/>
        </w:rPr>
        <w:t>7</w:t>
      </w:r>
      <w:r w:rsidR="002374DD" w:rsidRPr="00230ADC">
        <w:rPr>
          <w:rFonts w:ascii="Arial" w:hAnsi="Arial" w:cs="Arial"/>
          <w:sz w:val="22"/>
          <w:szCs w:val="22"/>
        </w:rPr>
        <w:t>,</w:t>
      </w:r>
      <w:r w:rsidR="008657F8" w:rsidRPr="00230ADC">
        <w:rPr>
          <w:rFonts w:ascii="Arial" w:hAnsi="Arial" w:cs="Arial"/>
          <w:sz w:val="22"/>
          <w:szCs w:val="22"/>
        </w:rPr>
        <w:t>3%).</w:t>
      </w:r>
    </w:p>
    <w:p w14:paraId="553C32DF" w14:textId="09AB208B" w:rsidR="001A560C" w:rsidRPr="001348D8" w:rsidRDefault="001A560C" w:rsidP="00C76837">
      <w:pPr>
        <w:autoSpaceDE w:val="0"/>
        <w:autoSpaceDN w:val="0"/>
        <w:adjustRightInd w:val="0"/>
        <w:spacing w:after="120"/>
        <w:jc w:val="both"/>
        <w:rPr>
          <w:rFonts w:ascii="Arial" w:hAnsi="Arial" w:cs="Arial"/>
          <w:sz w:val="22"/>
          <w:szCs w:val="22"/>
        </w:rPr>
      </w:pPr>
      <w:r w:rsidRPr="001348D8">
        <w:rPr>
          <w:rFonts w:ascii="Arial" w:hAnsi="Arial" w:cs="Arial"/>
          <w:sz w:val="22"/>
          <w:szCs w:val="22"/>
        </w:rPr>
        <w:t>Le ragioni di questi diversi comportamenti nuziali vanno ricercate, verosimilmente, nei progetti migratori e nelle caratteristiche culturali proprie delle diverse comunità</w:t>
      </w:r>
      <w:r w:rsidR="007A390C" w:rsidRPr="001348D8">
        <w:rPr>
          <w:rFonts w:ascii="Arial" w:hAnsi="Arial" w:cs="Arial"/>
          <w:sz w:val="22"/>
          <w:szCs w:val="22"/>
        </w:rPr>
        <w:t>,</w:t>
      </w:r>
      <w:r w:rsidRPr="001348D8">
        <w:rPr>
          <w:rFonts w:ascii="Arial" w:hAnsi="Arial" w:cs="Arial"/>
          <w:sz w:val="22"/>
          <w:szCs w:val="22"/>
        </w:rPr>
        <w:t xml:space="preserve"> oltre che nella </w:t>
      </w:r>
      <w:r w:rsidR="00DE1677" w:rsidRPr="001348D8">
        <w:rPr>
          <w:rFonts w:ascii="Arial" w:hAnsi="Arial" w:cs="Arial"/>
          <w:sz w:val="22"/>
          <w:szCs w:val="22"/>
        </w:rPr>
        <w:t xml:space="preserve">prevalenza </w:t>
      </w:r>
      <w:r w:rsidRPr="001348D8">
        <w:rPr>
          <w:rFonts w:ascii="Arial" w:hAnsi="Arial" w:cs="Arial"/>
          <w:sz w:val="22"/>
          <w:szCs w:val="22"/>
        </w:rPr>
        <w:t xml:space="preserve">maschile o femminile che le collettività presentano. In molti casi i cittadini immigrati </w:t>
      </w:r>
      <w:r w:rsidR="00353F58" w:rsidRPr="001348D8">
        <w:rPr>
          <w:rFonts w:ascii="Arial" w:hAnsi="Arial" w:cs="Arial"/>
          <w:sz w:val="22"/>
          <w:szCs w:val="22"/>
        </w:rPr>
        <w:t xml:space="preserve">arrivano in Italia dopo aver già contratto il matrimonio </w:t>
      </w:r>
      <w:r w:rsidRPr="001348D8">
        <w:rPr>
          <w:rFonts w:ascii="Arial" w:hAnsi="Arial" w:cs="Arial"/>
          <w:sz w:val="22"/>
          <w:szCs w:val="22"/>
        </w:rPr>
        <w:t xml:space="preserve">nel </w:t>
      </w:r>
      <w:r w:rsidR="001348D8" w:rsidRPr="001348D8">
        <w:rPr>
          <w:rFonts w:ascii="Arial" w:hAnsi="Arial" w:cs="Arial"/>
          <w:sz w:val="22"/>
          <w:szCs w:val="22"/>
        </w:rPr>
        <w:t>p</w:t>
      </w:r>
      <w:r w:rsidR="00155D83" w:rsidRPr="001348D8">
        <w:rPr>
          <w:rFonts w:ascii="Arial" w:hAnsi="Arial" w:cs="Arial"/>
          <w:sz w:val="22"/>
          <w:szCs w:val="22"/>
        </w:rPr>
        <w:t xml:space="preserve">aese </w:t>
      </w:r>
      <w:r w:rsidRPr="001348D8">
        <w:rPr>
          <w:rFonts w:ascii="Arial" w:hAnsi="Arial" w:cs="Arial"/>
          <w:sz w:val="22"/>
          <w:szCs w:val="22"/>
        </w:rPr>
        <w:t>di origine</w:t>
      </w:r>
      <w:r w:rsidR="00353F58" w:rsidRPr="001348D8">
        <w:rPr>
          <w:rFonts w:ascii="Arial" w:hAnsi="Arial" w:cs="Arial"/>
          <w:sz w:val="22"/>
          <w:szCs w:val="22"/>
        </w:rPr>
        <w:t>, oppure vi fanno temporaneamente ritorno per questo scopo</w:t>
      </w:r>
      <w:r w:rsidR="00EE67FE">
        <w:rPr>
          <w:rFonts w:ascii="Arial" w:hAnsi="Arial" w:cs="Arial"/>
          <w:sz w:val="22"/>
          <w:szCs w:val="22"/>
        </w:rPr>
        <w:t>; q</w:t>
      </w:r>
      <w:r w:rsidR="00353F58" w:rsidRPr="001348D8">
        <w:rPr>
          <w:rFonts w:ascii="Arial" w:hAnsi="Arial" w:cs="Arial"/>
          <w:sz w:val="22"/>
          <w:szCs w:val="22"/>
        </w:rPr>
        <w:t>uesto per dire che un significativo numero di celebrazioni di cittadini</w:t>
      </w:r>
      <w:r w:rsidR="00EE67FE">
        <w:rPr>
          <w:rFonts w:ascii="Arial" w:hAnsi="Arial" w:cs="Arial"/>
          <w:sz w:val="22"/>
          <w:szCs w:val="22"/>
        </w:rPr>
        <w:t xml:space="preserve"> stranieri</w:t>
      </w:r>
      <w:r w:rsidR="00353F58" w:rsidRPr="001348D8">
        <w:rPr>
          <w:rFonts w:ascii="Arial" w:hAnsi="Arial" w:cs="Arial"/>
          <w:sz w:val="22"/>
          <w:szCs w:val="22"/>
        </w:rPr>
        <w:t xml:space="preserve"> residenti in Italia </w:t>
      </w:r>
      <w:r w:rsidR="00EE67FE">
        <w:rPr>
          <w:rFonts w:ascii="Arial" w:hAnsi="Arial" w:cs="Arial"/>
          <w:sz w:val="22"/>
          <w:szCs w:val="22"/>
        </w:rPr>
        <w:t>non viene rilevato da</w:t>
      </w:r>
      <w:r w:rsidR="009D7035">
        <w:rPr>
          <w:rFonts w:ascii="Arial" w:hAnsi="Arial" w:cs="Arial"/>
          <w:sz w:val="22"/>
          <w:szCs w:val="22"/>
        </w:rPr>
        <w:t>gli U</w:t>
      </w:r>
      <w:r w:rsidR="00353F58" w:rsidRPr="001348D8">
        <w:rPr>
          <w:rFonts w:ascii="Arial" w:hAnsi="Arial" w:cs="Arial"/>
          <w:sz w:val="22"/>
          <w:szCs w:val="22"/>
        </w:rPr>
        <w:t xml:space="preserve">ffici di </w:t>
      </w:r>
      <w:r w:rsidR="009D7035">
        <w:rPr>
          <w:rFonts w:ascii="Arial" w:hAnsi="Arial" w:cs="Arial"/>
          <w:sz w:val="22"/>
          <w:szCs w:val="22"/>
        </w:rPr>
        <w:t>S</w:t>
      </w:r>
      <w:r w:rsidR="00353F58" w:rsidRPr="001348D8">
        <w:rPr>
          <w:rFonts w:ascii="Arial" w:hAnsi="Arial" w:cs="Arial"/>
          <w:sz w:val="22"/>
          <w:szCs w:val="22"/>
        </w:rPr>
        <w:t xml:space="preserve">tato </w:t>
      </w:r>
      <w:r w:rsidR="009D7035">
        <w:rPr>
          <w:rFonts w:ascii="Arial" w:hAnsi="Arial" w:cs="Arial"/>
          <w:sz w:val="22"/>
          <w:szCs w:val="22"/>
        </w:rPr>
        <w:t>C</w:t>
      </w:r>
      <w:r w:rsidR="00353F58" w:rsidRPr="001348D8">
        <w:rPr>
          <w:rFonts w:ascii="Arial" w:hAnsi="Arial" w:cs="Arial"/>
          <w:sz w:val="22"/>
          <w:szCs w:val="22"/>
        </w:rPr>
        <w:t>ivile in quanto celebrati all’estero</w:t>
      </w:r>
      <w:r w:rsidRPr="001348D8">
        <w:rPr>
          <w:rFonts w:ascii="Arial" w:hAnsi="Arial" w:cs="Arial"/>
          <w:sz w:val="22"/>
          <w:szCs w:val="22"/>
        </w:rPr>
        <w:t>.</w:t>
      </w:r>
    </w:p>
    <w:p w14:paraId="07B6A044" w14:textId="77777777" w:rsidR="00653B88" w:rsidRPr="00E42BAB" w:rsidRDefault="00653B88" w:rsidP="00C76837">
      <w:pPr>
        <w:autoSpaceDE w:val="0"/>
        <w:autoSpaceDN w:val="0"/>
        <w:adjustRightInd w:val="0"/>
        <w:spacing w:after="120"/>
        <w:jc w:val="both"/>
        <w:rPr>
          <w:rFonts w:ascii="Arial" w:hAnsi="Arial" w:cs="Arial"/>
          <w:sz w:val="22"/>
          <w:szCs w:val="22"/>
          <w:highlight w:val="green"/>
        </w:rPr>
      </w:pPr>
    </w:p>
    <w:p w14:paraId="6E485ECA" w14:textId="71D89D6E" w:rsidR="00653B88" w:rsidRPr="00FD1C5E" w:rsidRDefault="00EA2328" w:rsidP="00653B88">
      <w:pPr>
        <w:spacing w:after="120"/>
        <w:jc w:val="both"/>
        <w:outlineLvl w:val="0"/>
        <w:rPr>
          <w:rFonts w:ascii="Arial" w:hAnsi="Arial" w:cs="Arial"/>
          <w:b/>
          <w:color w:val="1F497D" w:themeColor="text2"/>
          <w:sz w:val="26"/>
          <w:szCs w:val="26"/>
        </w:rPr>
      </w:pPr>
      <w:r w:rsidRPr="00564877">
        <w:rPr>
          <w:rFonts w:ascii="Arial" w:hAnsi="Arial" w:cs="Arial"/>
          <w:b/>
          <w:color w:val="1F497D" w:themeColor="text2"/>
          <w:sz w:val="26"/>
          <w:szCs w:val="26"/>
        </w:rPr>
        <w:t>Aumentano i matrimoni misti con n</w:t>
      </w:r>
      <w:r w:rsidR="00653B88" w:rsidRPr="00564877">
        <w:rPr>
          <w:rFonts w:ascii="Arial" w:hAnsi="Arial" w:cs="Arial"/>
          <w:b/>
          <w:color w:val="1F497D" w:themeColor="text2"/>
          <w:sz w:val="26"/>
          <w:szCs w:val="26"/>
        </w:rPr>
        <w:t>uovi cittadini</w:t>
      </w:r>
      <w:r w:rsidR="00653B88" w:rsidRPr="00FD1C5E">
        <w:rPr>
          <w:rFonts w:ascii="Arial" w:hAnsi="Arial" w:cs="Arial"/>
          <w:b/>
          <w:color w:val="1F497D" w:themeColor="text2"/>
          <w:sz w:val="26"/>
          <w:szCs w:val="26"/>
        </w:rPr>
        <w:t xml:space="preserve"> </w:t>
      </w:r>
    </w:p>
    <w:p w14:paraId="28ABB8A6" w14:textId="4247511A" w:rsidR="000D51AD" w:rsidRPr="00FD1C5E" w:rsidRDefault="00BB4DE6" w:rsidP="003E28C3">
      <w:pPr>
        <w:autoSpaceDE w:val="0"/>
        <w:autoSpaceDN w:val="0"/>
        <w:adjustRightInd w:val="0"/>
        <w:spacing w:after="120"/>
        <w:jc w:val="both"/>
        <w:rPr>
          <w:rFonts w:ascii="Arial" w:hAnsi="Arial" w:cs="Arial"/>
          <w:sz w:val="22"/>
          <w:szCs w:val="22"/>
        </w:rPr>
      </w:pPr>
      <w:r w:rsidRPr="005E4C0F">
        <w:rPr>
          <w:rFonts w:ascii="Arial" w:hAnsi="Arial" w:cs="Arial"/>
          <w:sz w:val="22"/>
          <w:szCs w:val="22"/>
        </w:rPr>
        <w:t>La possibilità di distinguere la cittadinanza degli sposi italiani, dalla nascita o per acquisizione, permette di far luce sui</w:t>
      </w:r>
      <w:r w:rsidR="004316D7" w:rsidRPr="005E4C0F">
        <w:rPr>
          <w:rFonts w:ascii="Arial" w:hAnsi="Arial" w:cs="Arial"/>
          <w:sz w:val="22"/>
          <w:szCs w:val="22"/>
        </w:rPr>
        <w:t xml:space="preserve"> comportamenti nuziali </w:t>
      </w:r>
      <w:r w:rsidRPr="005E4C0F">
        <w:rPr>
          <w:rFonts w:ascii="Arial" w:hAnsi="Arial" w:cs="Arial"/>
          <w:sz w:val="22"/>
          <w:szCs w:val="22"/>
        </w:rPr>
        <w:t xml:space="preserve">in base al </w:t>
      </w:r>
      <w:r w:rsidRPr="005E4C0F">
        <w:rPr>
          <w:rFonts w:ascii="Arial" w:hAnsi="Arial" w:cs="Arial"/>
          <w:i/>
          <w:iCs/>
          <w:sz w:val="22"/>
          <w:szCs w:val="22"/>
        </w:rPr>
        <w:t>background</w:t>
      </w:r>
      <w:r w:rsidRPr="005E4C0F">
        <w:rPr>
          <w:rFonts w:ascii="Arial" w:hAnsi="Arial" w:cs="Arial"/>
          <w:sz w:val="22"/>
          <w:szCs w:val="22"/>
        </w:rPr>
        <w:t xml:space="preserve"> migratorio.</w:t>
      </w:r>
      <w:r w:rsidR="00F01EEB" w:rsidRPr="005E4C0F">
        <w:rPr>
          <w:rFonts w:ascii="Arial" w:hAnsi="Arial" w:cs="Arial"/>
          <w:sz w:val="22"/>
          <w:szCs w:val="22"/>
        </w:rPr>
        <w:t xml:space="preserve"> </w:t>
      </w:r>
      <w:r w:rsidRPr="005E4C0F">
        <w:rPr>
          <w:rFonts w:ascii="Arial" w:hAnsi="Arial" w:cs="Arial"/>
          <w:sz w:val="22"/>
          <w:szCs w:val="22"/>
        </w:rPr>
        <w:t xml:space="preserve">Tra i matrimoni misti, oltre uno su 10 coinvolge uno sposo italiano per acquisizione; se consideriamo i matrimoni misti tra sposa italiana e sposo straniero, </w:t>
      </w:r>
      <w:r w:rsidR="00726A20" w:rsidRPr="005E4C0F">
        <w:rPr>
          <w:rFonts w:ascii="Arial" w:hAnsi="Arial" w:cs="Arial"/>
          <w:sz w:val="22"/>
          <w:szCs w:val="22"/>
        </w:rPr>
        <w:t xml:space="preserve">in </w:t>
      </w:r>
      <w:r w:rsidR="00FD1C5E" w:rsidRPr="005E4C0F">
        <w:rPr>
          <w:rFonts w:ascii="Arial" w:hAnsi="Arial" w:cs="Arial"/>
          <w:sz w:val="22"/>
          <w:szCs w:val="22"/>
        </w:rPr>
        <w:t xml:space="preserve">più di </w:t>
      </w:r>
      <w:r w:rsidR="00726A20" w:rsidRPr="005E4C0F">
        <w:rPr>
          <w:rFonts w:ascii="Arial" w:hAnsi="Arial" w:cs="Arial"/>
          <w:sz w:val="22"/>
          <w:szCs w:val="22"/>
        </w:rPr>
        <w:t xml:space="preserve">uno su quattro </w:t>
      </w:r>
      <w:r w:rsidR="005143E7" w:rsidRPr="005E4C0F">
        <w:rPr>
          <w:rFonts w:ascii="Arial" w:hAnsi="Arial" w:cs="Arial"/>
          <w:sz w:val="22"/>
          <w:szCs w:val="22"/>
        </w:rPr>
        <w:t>la</w:t>
      </w:r>
      <w:r w:rsidRPr="005E4C0F">
        <w:rPr>
          <w:rFonts w:ascii="Arial" w:hAnsi="Arial" w:cs="Arial"/>
          <w:sz w:val="22"/>
          <w:szCs w:val="22"/>
        </w:rPr>
        <w:t xml:space="preserve"> spos</w:t>
      </w:r>
      <w:r w:rsidR="005143E7" w:rsidRPr="005E4C0F">
        <w:rPr>
          <w:rFonts w:ascii="Arial" w:hAnsi="Arial" w:cs="Arial"/>
          <w:sz w:val="22"/>
          <w:szCs w:val="22"/>
        </w:rPr>
        <w:t>a</w:t>
      </w:r>
      <w:r w:rsidRPr="005E4C0F">
        <w:rPr>
          <w:rFonts w:ascii="Arial" w:hAnsi="Arial" w:cs="Arial"/>
          <w:sz w:val="22"/>
          <w:szCs w:val="22"/>
        </w:rPr>
        <w:t xml:space="preserve"> </w:t>
      </w:r>
      <w:r w:rsidR="00F91130" w:rsidRPr="005E4C0F">
        <w:rPr>
          <w:rFonts w:ascii="Arial" w:hAnsi="Arial" w:cs="Arial"/>
          <w:sz w:val="22"/>
          <w:szCs w:val="22"/>
        </w:rPr>
        <w:t>italian</w:t>
      </w:r>
      <w:r w:rsidR="005143E7" w:rsidRPr="005E4C0F">
        <w:rPr>
          <w:rFonts w:ascii="Arial" w:hAnsi="Arial" w:cs="Arial"/>
          <w:sz w:val="22"/>
          <w:szCs w:val="22"/>
        </w:rPr>
        <w:t>a</w:t>
      </w:r>
      <w:r w:rsidR="00F91130" w:rsidRPr="005E4C0F">
        <w:rPr>
          <w:rFonts w:ascii="Arial" w:hAnsi="Arial" w:cs="Arial"/>
          <w:sz w:val="22"/>
          <w:szCs w:val="22"/>
        </w:rPr>
        <w:t xml:space="preserve"> </w:t>
      </w:r>
      <w:r w:rsidRPr="005E4C0F">
        <w:rPr>
          <w:rFonts w:ascii="Arial" w:hAnsi="Arial" w:cs="Arial"/>
          <w:sz w:val="22"/>
          <w:szCs w:val="22"/>
        </w:rPr>
        <w:t>è di origine straniera</w:t>
      </w:r>
      <w:r w:rsidR="00F01EEB" w:rsidRPr="005E4C0F">
        <w:rPr>
          <w:rFonts w:ascii="Arial" w:hAnsi="Arial" w:cs="Arial"/>
          <w:sz w:val="22"/>
          <w:szCs w:val="22"/>
        </w:rPr>
        <w:t xml:space="preserve"> (Figura 2)</w:t>
      </w:r>
      <w:r w:rsidRPr="005E4C0F">
        <w:rPr>
          <w:rFonts w:ascii="Arial" w:hAnsi="Arial" w:cs="Arial"/>
          <w:sz w:val="22"/>
          <w:szCs w:val="22"/>
        </w:rPr>
        <w:t xml:space="preserve">. </w:t>
      </w:r>
      <w:r w:rsidR="00A61860" w:rsidRPr="005E4C0F">
        <w:rPr>
          <w:rFonts w:ascii="Arial" w:hAnsi="Arial" w:cs="Arial"/>
          <w:sz w:val="22"/>
          <w:szCs w:val="22"/>
        </w:rPr>
        <w:t>Q</w:t>
      </w:r>
      <w:r w:rsidR="00726A20" w:rsidRPr="005E4C0F">
        <w:rPr>
          <w:rFonts w:ascii="Arial" w:hAnsi="Arial" w:cs="Arial"/>
          <w:sz w:val="22"/>
          <w:szCs w:val="22"/>
        </w:rPr>
        <w:t>uesta quota era molto più contenuta, circa</w:t>
      </w:r>
      <w:r w:rsidR="004A59A2" w:rsidRPr="005E4C0F">
        <w:rPr>
          <w:rFonts w:ascii="Arial" w:hAnsi="Arial" w:cs="Arial"/>
          <w:sz w:val="22"/>
          <w:szCs w:val="22"/>
        </w:rPr>
        <w:t xml:space="preserve"> il 6%</w:t>
      </w:r>
      <w:r w:rsidR="00A61860" w:rsidRPr="005E4C0F">
        <w:rPr>
          <w:rFonts w:ascii="Arial" w:hAnsi="Arial" w:cs="Arial"/>
          <w:sz w:val="22"/>
          <w:szCs w:val="22"/>
        </w:rPr>
        <w:t xml:space="preserve">, nel </w:t>
      </w:r>
      <w:r w:rsidR="001E7FA8" w:rsidRPr="005E4C0F">
        <w:rPr>
          <w:rFonts w:ascii="Arial" w:hAnsi="Arial" w:cs="Arial"/>
          <w:sz w:val="22"/>
          <w:szCs w:val="22"/>
        </w:rPr>
        <w:t>2012</w:t>
      </w:r>
      <w:r w:rsidR="00726A20" w:rsidRPr="005E4C0F">
        <w:rPr>
          <w:rFonts w:ascii="Arial" w:hAnsi="Arial" w:cs="Arial"/>
          <w:sz w:val="22"/>
          <w:szCs w:val="22"/>
        </w:rPr>
        <w:t>.</w:t>
      </w:r>
    </w:p>
    <w:p w14:paraId="5754DFEC" w14:textId="5435E872" w:rsidR="00F01EEB" w:rsidRDefault="004A59A2" w:rsidP="003E28C3">
      <w:pPr>
        <w:autoSpaceDE w:val="0"/>
        <w:autoSpaceDN w:val="0"/>
        <w:adjustRightInd w:val="0"/>
        <w:spacing w:after="120"/>
        <w:jc w:val="both"/>
        <w:rPr>
          <w:rFonts w:ascii="Arial" w:hAnsi="Arial" w:cs="Arial"/>
          <w:sz w:val="22"/>
          <w:szCs w:val="22"/>
        </w:rPr>
      </w:pPr>
      <w:r w:rsidRPr="00FD1C5E">
        <w:rPr>
          <w:rFonts w:ascii="Arial" w:hAnsi="Arial" w:cs="Arial"/>
          <w:sz w:val="22"/>
          <w:szCs w:val="22"/>
        </w:rPr>
        <w:t xml:space="preserve">Il </w:t>
      </w:r>
      <w:r w:rsidR="00726A20" w:rsidRPr="00FD1C5E">
        <w:rPr>
          <w:rFonts w:ascii="Arial" w:hAnsi="Arial" w:cs="Arial"/>
          <w:sz w:val="22"/>
          <w:szCs w:val="22"/>
        </w:rPr>
        <w:t xml:space="preserve">consistente aumento </w:t>
      </w:r>
      <w:r w:rsidR="003E28C3" w:rsidRPr="00FD1C5E">
        <w:rPr>
          <w:rFonts w:ascii="Arial" w:hAnsi="Arial" w:cs="Arial"/>
          <w:sz w:val="22"/>
          <w:szCs w:val="22"/>
        </w:rPr>
        <w:t xml:space="preserve">della presenza di italiani per acquisizione al momento del matrimonio </w:t>
      </w:r>
      <w:r w:rsidR="00726A20" w:rsidRPr="00FD1C5E">
        <w:rPr>
          <w:rFonts w:ascii="Arial" w:hAnsi="Arial" w:cs="Arial"/>
          <w:sz w:val="22"/>
          <w:szCs w:val="22"/>
        </w:rPr>
        <w:t xml:space="preserve">è dovuto a molteplici fattori. </w:t>
      </w:r>
      <w:r w:rsidR="00104248" w:rsidRPr="00FD1C5E">
        <w:rPr>
          <w:rFonts w:ascii="Arial" w:hAnsi="Arial" w:cs="Arial"/>
          <w:sz w:val="22"/>
          <w:szCs w:val="22"/>
        </w:rPr>
        <w:t>Innanzitutto,</w:t>
      </w:r>
      <w:r w:rsidR="00F01EEB" w:rsidRPr="00FD1C5E">
        <w:rPr>
          <w:rFonts w:ascii="Arial" w:hAnsi="Arial" w:cs="Arial"/>
          <w:sz w:val="22"/>
          <w:szCs w:val="22"/>
        </w:rPr>
        <w:t xml:space="preserve"> negli anni recenti l’acquisizione </w:t>
      </w:r>
      <w:r w:rsidR="00691360">
        <w:rPr>
          <w:rFonts w:ascii="Arial" w:hAnsi="Arial" w:cs="Arial"/>
          <w:sz w:val="22"/>
          <w:szCs w:val="22"/>
        </w:rPr>
        <w:t xml:space="preserve">della cittadinanza </w:t>
      </w:r>
      <w:r w:rsidR="00F01EEB" w:rsidRPr="00FD1C5E">
        <w:rPr>
          <w:rFonts w:ascii="Arial" w:hAnsi="Arial" w:cs="Arial"/>
          <w:sz w:val="22"/>
          <w:szCs w:val="22"/>
        </w:rPr>
        <w:t xml:space="preserve">è diventata più </w:t>
      </w:r>
      <w:r w:rsidR="00F022F4" w:rsidRPr="00FD1C5E">
        <w:rPr>
          <w:rFonts w:ascii="Arial" w:hAnsi="Arial" w:cs="Arial"/>
          <w:sz w:val="22"/>
          <w:szCs w:val="22"/>
        </w:rPr>
        <w:t>consistente</w:t>
      </w:r>
      <w:r w:rsidR="00F01EEB" w:rsidRPr="00FD1C5E">
        <w:rPr>
          <w:rFonts w:ascii="Arial" w:hAnsi="Arial" w:cs="Arial"/>
          <w:sz w:val="22"/>
          <w:szCs w:val="22"/>
        </w:rPr>
        <w:t xml:space="preserve">, </w:t>
      </w:r>
      <w:r w:rsidRPr="00FD1C5E">
        <w:rPr>
          <w:rFonts w:ascii="Arial" w:hAnsi="Arial" w:cs="Arial"/>
          <w:sz w:val="22"/>
          <w:szCs w:val="22"/>
        </w:rPr>
        <w:t xml:space="preserve">in linea con un </w:t>
      </w:r>
      <w:r w:rsidR="00F01EEB" w:rsidRPr="00FD1C5E">
        <w:rPr>
          <w:rFonts w:ascii="Arial" w:hAnsi="Arial" w:cs="Arial"/>
          <w:sz w:val="22"/>
          <w:szCs w:val="22"/>
        </w:rPr>
        <w:t>più avanzato processo di integrazione</w:t>
      </w:r>
      <w:r w:rsidRPr="00FD1C5E">
        <w:rPr>
          <w:rFonts w:ascii="Arial" w:hAnsi="Arial" w:cs="Arial"/>
          <w:sz w:val="22"/>
          <w:szCs w:val="22"/>
        </w:rPr>
        <w:t xml:space="preserve"> dei cittadini stranieri</w:t>
      </w:r>
      <w:r w:rsidR="00EA2328" w:rsidRPr="00FD1C5E">
        <w:rPr>
          <w:rFonts w:ascii="Arial" w:hAnsi="Arial" w:cs="Arial"/>
          <w:sz w:val="22"/>
          <w:szCs w:val="22"/>
        </w:rPr>
        <w:t>, ma, a</w:t>
      </w:r>
      <w:r w:rsidR="00F01EEB" w:rsidRPr="00FD1C5E">
        <w:rPr>
          <w:rFonts w:ascii="Arial" w:hAnsi="Arial" w:cs="Arial"/>
          <w:sz w:val="22"/>
          <w:szCs w:val="22"/>
        </w:rPr>
        <w:t xml:space="preserve">llo stesso tempo, </w:t>
      </w:r>
      <w:r w:rsidR="003E28C3" w:rsidRPr="00FD1C5E">
        <w:rPr>
          <w:rFonts w:ascii="Arial" w:hAnsi="Arial" w:cs="Arial"/>
          <w:sz w:val="22"/>
          <w:szCs w:val="22"/>
        </w:rPr>
        <w:t xml:space="preserve">si </w:t>
      </w:r>
      <w:r w:rsidR="001A763F">
        <w:rPr>
          <w:rFonts w:ascii="Arial" w:hAnsi="Arial" w:cs="Arial"/>
          <w:sz w:val="22"/>
          <w:szCs w:val="22"/>
        </w:rPr>
        <w:t xml:space="preserve">è </w:t>
      </w:r>
      <w:r w:rsidR="00E40A38">
        <w:rPr>
          <w:rFonts w:ascii="Arial" w:hAnsi="Arial" w:cs="Arial"/>
          <w:sz w:val="22"/>
          <w:szCs w:val="22"/>
        </w:rPr>
        <w:t>registrata</w:t>
      </w:r>
      <w:r w:rsidR="00F01EEB" w:rsidRPr="00FD1C5E">
        <w:rPr>
          <w:rFonts w:ascii="Arial" w:hAnsi="Arial" w:cs="Arial"/>
          <w:sz w:val="22"/>
          <w:szCs w:val="22"/>
        </w:rPr>
        <w:t xml:space="preserve"> una progressiva diminuzione della quota di acquisizioni per matrimonio. </w:t>
      </w:r>
      <w:r w:rsidR="003E28C3" w:rsidRPr="00FD1C5E">
        <w:rPr>
          <w:rFonts w:ascii="Arial" w:hAnsi="Arial" w:cs="Arial"/>
          <w:sz w:val="22"/>
          <w:szCs w:val="22"/>
        </w:rPr>
        <w:t xml:space="preserve">La tipologia di matrimonio </w:t>
      </w:r>
      <w:r w:rsidR="00EA2328" w:rsidRPr="00FD1C5E">
        <w:rPr>
          <w:rFonts w:ascii="Arial" w:hAnsi="Arial" w:cs="Arial"/>
          <w:sz w:val="22"/>
          <w:szCs w:val="22"/>
        </w:rPr>
        <w:t>misto, quindi,</w:t>
      </w:r>
      <w:r w:rsidR="00905A75" w:rsidRPr="00FD1C5E">
        <w:rPr>
          <w:rFonts w:ascii="Arial" w:hAnsi="Arial" w:cs="Arial"/>
          <w:sz w:val="22"/>
          <w:szCs w:val="22"/>
        </w:rPr>
        <w:t xml:space="preserve"> sta cambiando nel tempo,</w:t>
      </w:r>
      <w:r w:rsidR="003E28C3" w:rsidRPr="00FD1C5E">
        <w:rPr>
          <w:rFonts w:ascii="Arial" w:hAnsi="Arial" w:cs="Arial"/>
          <w:sz w:val="22"/>
          <w:szCs w:val="22"/>
        </w:rPr>
        <w:t xml:space="preserve"> </w:t>
      </w:r>
      <w:r w:rsidR="00F01EEB" w:rsidRPr="00FD1C5E">
        <w:rPr>
          <w:rFonts w:ascii="Arial" w:hAnsi="Arial" w:cs="Arial"/>
          <w:sz w:val="22"/>
          <w:szCs w:val="22"/>
        </w:rPr>
        <w:t>includendo</w:t>
      </w:r>
      <w:r w:rsidR="003E28C3" w:rsidRPr="00FD1C5E">
        <w:rPr>
          <w:rFonts w:ascii="Arial" w:hAnsi="Arial" w:cs="Arial"/>
          <w:sz w:val="22"/>
          <w:szCs w:val="22"/>
        </w:rPr>
        <w:t xml:space="preserve"> </w:t>
      </w:r>
      <w:r w:rsidRPr="00FD1C5E">
        <w:rPr>
          <w:rFonts w:ascii="Arial" w:hAnsi="Arial" w:cs="Arial"/>
          <w:sz w:val="22"/>
          <w:szCs w:val="22"/>
        </w:rPr>
        <w:t xml:space="preserve">una quota crescente </w:t>
      </w:r>
      <w:r w:rsidR="00104248">
        <w:rPr>
          <w:rFonts w:ascii="Arial" w:hAnsi="Arial" w:cs="Arial"/>
          <w:sz w:val="22"/>
          <w:szCs w:val="22"/>
        </w:rPr>
        <w:br/>
      </w:r>
      <w:r w:rsidRPr="00FD1C5E">
        <w:rPr>
          <w:rFonts w:ascii="Arial" w:hAnsi="Arial" w:cs="Arial"/>
          <w:sz w:val="22"/>
          <w:szCs w:val="22"/>
        </w:rPr>
        <w:t xml:space="preserve">di </w:t>
      </w:r>
      <w:r w:rsidR="00F01EEB" w:rsidRPr="00FD1C5E">
        <w:rPr>
          <w:rFonts w:ascii="Arial" w:hAnsi="Arial" w:cs="Arial"/>
          <w:sz w:val="22"/>
          <w:szCs w:val="22"/>
        </w:rPr>
        <w:t>n</w:t>
      </w:r>
      <w:r w:rsidRPr="00FD1C5E">
        <w:rPr>
          <w:rFonts w:ascii="Arial" w:hAnsi="Arial" w:cs="Arial"/>
          <w:sz w:val="22"/>
          <w:szCs w:val="22"/>
        </w:rPr>
        <w:t>eo-</w:t>
      </w:r>
      <w:r w:rsidR="00F01EEB" w:rsidRPr="00FD1C5E">
        <w:rPr>
          <w:rFonts w:ascii="Arial" w:hAnsi="Arial" w:cs="Arial"/>
          <w:sz w:val="22"/>
          <w:szCs w:val="22"/>
        </w:rPr>
        <w:t>cittadini italiani che alla nascita avevano la stessa cittadinanza del</w:t>
      </w:r>
      <w:r w:rsidRPr="00FD1C5E">
        <w:rPr>
          <w:rFonts w:ascii="Arial" w:hAnsi="Arial" w:cs="Arial"/>
          <w:sz w:val="22"/>
          <w:szCs w:val="22"/>
        </w:rPr>
        <w:t xml:space="preserve"> partner </w:t>
      </w:r>
      <w:r w:rsidR="00F01EEB" w:rsidRPr="00FD1C5E">
        <w:rPr>
          <w:rFonts w:ascii="Arial" w:hAnsi="Arial" w:cs="Arial"/>
          <w:sz w:val="22"/>
          <w:szCs w:val="22"/>
        </w:rPr>
        <w:t>straniero.</w:t>
      </w:r>
    </w:p>
    <w:p w14:paraId="35A465D5" w14:textId="77777777" w:rsidR="00C74129" w:rsidRDefault="00C74129" w:rsidP="00C74129">
      <w:pPr>
        <w:rPr>
          <w:rFonts w:ascii="Arial" w:hAnsi="Arial" w:cs="Arial"/>
          <w:sz w:val="22"/>
          <w:szCs w:val="22"/>
        </w:rPr>
      </w:pPr>
    </w:p>
    <w:p w14:paraId="512EB11B" w14:textId="77777777" w:rsidR="00104248" w:rsidRDefault="00104248" w:rsidP="00C74129">
      <w:pPr>
        <w:rPr>
          <w:rFonts w:ascii="Arial" w:hAnsi="Arial" w:cs="Arial"/>
          <w:sz w:val="22"/>
          <w:szCs w:val="22"/>
        </w:rPr>
      </w:pPr>
    </w:p>
    <w:p w14:paraId="3A7720DA" w14:textId="77777777" w:rsidR="00104248" w:rsidRDefault="00104248" w:rsidP="00C74129">
      <w:pPr>
        <w:rPr>
          <w:rFonts w:ascii="Arial" w:hAnsi="Arial" w:cs="Arial"/>
          <w:sz w:val="22"/>
          <w:szCs w:val="22"/>
        </w:rPr>
      </w:pPr>
    </w:p>
    <w:p w14:paraId="18249243" w14:textId="77777777" w:rsidR="00104248" w:rsidRDefault="00104248" w:rsidP="00C74129">
      <w:pPr>
        <w:rPr>
          <w:rFonts w:ascii="Arial" w:hAnsi="Arial" w:cs="Arial"/>
          <w:sz w:val="22"/>
          <w:szCs w:val="22"/>
        </w:rPr>
      </w:pPr>
    </w:p>
    <w:p w14:paraId="159BFF95" w14:textId="77777777" w:rsidR="00104248" w:rsidRPr="00507FC7" w:rsidRDefault="00104248" w:rsidP="00C74129">
      <w:pPr>
        <w:rPr>
          <w:rFonts w:ascii="Arial" w:hAnsi="Arial" w:cs="Arial"/>
          <w:sz w:val="36"/>
          <w:szCs w:val="36"/>
        </w:rPr>
      </w:pPr>
    </w:p>
    <w:p w14:paraId="424FC8E2" w14:textId="64DCFEBF" w:rsidR="00EA2328" w:rsidRDefault="00EA2328" w:rsidP="00263A06">
      <w:pPr>
        <w:jc w:val="both"/>
        <w:rPr>
          <w:rFonts w:ascii="Arial Narrow" w:hAnsi="Arial Narrow" w:cs="Arial"/>
          <w:iCs/>
          <w:noProof/>
          <w:color w:val="1F497D" w:themeColor="text2"/>
          <w:sz w:val="22"/>
          <w:szCs w:val="22"/>
        </w:rPr>
      </w:pPr>
      <w:r>
        <w:rPr>
          <w:rFonts w:ascii="Arial Black" w:hAnsi="Arial Black"/>
          <w:color w:val="1F497D"/>
          <w:sz w:val="22"/>
          <w:szCs w:val="22"/>
        </w:rPr>
        <w:t>FIGURA 2.</w:t>
      </w:r>
      <w:r>
        <w:rPr>
          <w:rFonts w:ascii="Arial Narrow" w:hAnsi="Arial Narrow"/>
          <w:b/>
          <w:bCs/>
          <w:color w:val="5F5F5F"/>
          <w:sz w:val="20"/>
          <w:szCs w:val="20"/>
        </w:rPr>
        <w:t xml:space="preserve"> </w:t>
      </w:r>
      <w:r>
        <w:rPr>
          <w:rFonts w:ascii="Arial Narrow" w:hAnsi="Arial Narrow"/>
          <w:b/>
          <w:bCs/>
          <w:color w:val="1F497D"/>
          <w:sz w:val="22"/>
          <w:szCs w:val="22"/>
        </w:rPr>
        <w:t>MATRIMONI MISTI PER TIPOLOGIA DI COPPIA E TIPO DI CITTADINANZA</w:t>
      </w:r>
      <w:r w:rsidR="00C74129">
        <w:rPr>
          <w:rFonts w:ascii="Arial Narrow" w:hAnsi="Arial Narrow"/>
          <w:b/>
          <w:bCs/>
          <w:color w:val="1F497D"/>
          <w:sz w:val="22"/>
          <w:szCs w:val="22"/>
        </w:rPr>
        <w:t xml:space="preserve">. </w:t>
      </w:r>
      <w:r w:rsidR="00C74129" w:rsidRPr="00122603">
        <w:rPr>
          <w:rFonts w:ascii="Arial Narrow" w:hAnsi="Arial Narrow" w:cs="Arial"/>
          <w:iCs/>
          <w:noProof/>
          <w:color w:val="1F497D" w:themeColor="text2"/>
          <w:sz w:val="22"/>
          <w:szCs w:val="22"/>
        </w:rPr>
        <w:t>Anno 20</w:t>
      </w:r>
      <w:r w:rsidR="00C74129">
        <w:rPr>
          <w:rFonts w:ascii="Arial Narrow" w:hAnsi="Arial Narrow" w:cs="Arial"/>
          <w:iCs/>
          <w:noProof/>
          <w:color w:val="1F497D" w:themeColor="text2"/>
          <w:sz w:val="22"/>
          <w:szCs w:val="22"/>
        </w:rPr>
        <w:t>2</w:t>
      </w:r>
      <w:r w:rsidR="000213D6">
        <w:rPr>
          <w:rFonts w:ascii="Arial Narrow" w:hAnsi="Arial Narrow" w:cs="Arial"/>
          <w:iCs/>
          <w:noProof/>
          <w:color w:val="1F497D" w:themeColor="text2"/>
          <w:sz w:val="22"/>
          <w:szCs w:val="22"/>
        </w:rPr>
        <w:t>2</w:t>
      </w:r>
      <w:r w:rsidR="00C74129">
        <w:rPr>
          <w:rFonts w:ascii="Arial Narrow" w:hAnsi="Arial Narrow" w:cs="Arial"/>
          <w:iCs/>
          <w:noProof/>
          <w:color w:val="1F497D" w:themeColor="text2"/>
          <w:sz w:val="22"/>
          <w:szCs w:val="22"/>
        </w:rPr>
        <w:t>, valori percentuali</w:t>
      </w:r>
    </w:p>
    <w:p w14:paraId="0D25E2BF" w14:textId="77777777" w:rsidR="00263A06" w:rsidRPr="00263A06" w:rsidRDefault="00263A06" w:rsidP="00263A06">
      <w:pPr>
        <w:jc w:val="both"/>
        <w:rPr>
          <w:rFonts w:ascii="Arial Narrow" w:hAnsi="Arial Narrow" w:cs="Arial"/>
          <w:b/>
          <w:iCs/>
          <w:noProof/>
          <w:color w:val="1F497D" w:themeColor="text2"/>
          <w:sz w:val="22"/>
          <w:szCs w:val="22"/>
        </w:rPr>
      </w:pPr>
    </w:p>
    <w:p w14:paraId="09337EB1" w14:textId="60082F38" w:rsidR="00766876" w:rsidRDefault="00766876" w:rsidP="00766876">
      <w:pPr>
        <w:autoSpaceDE w:val="0"/>
        <w:autoSpaceDN w:val="0"/>
        <w:adjustRightInd w:val="0"/>
        <w:spacing w:after="120"/>
        <w:jc w:val="both"/>
        <w:rPr>
          <w:noProof/>
        </w:rPr>
      </w:pPr>
      <w:r>
        <w:rPr>
          <w:noProof/>
        </w:rPr>
        <w:fldChar w:fldCharType="begin"/>
      </w:r>
      <w:r>
        <w:rPr>
          <w:noProof/>
        </w:rPr>
        <w:instrText xml:space="preserve"> LINK Excel.Sheet.12 "D:\\ISTAT\\Editing report\\Statistica report matrimoni dic 2023\\Pacchetto matrimoni dicembre 2023\\Tavole e grafici 2022_13_12_23.xlsx!2![Tavole e grafici 2022_13_12_23.xlsx]2 Grafico 6" "" \a \p </w:instrText>
      </w:r>
      <w:r>
        <w:rPr>
          <w:noProof/>
        </w:rPr>
        <w:fldChar w:fldCharType="separate"/>
      </w:r>
      <w:r>
        <w:rPr>
          <w:noProof/>
        </w:rPr>
        <w:object w:dxaOrig="9946" w:dyaOrig="3585" w14:anchorId="41DCA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179.25pt" o:ole="">
            <v:imagedata r:id="rId13" o:title=""/>
          </v:shape>
        </w:object>
      </w:r>
      <w:r>
        <w:rPr>
          <w:noProof/>
        </w:rPr>
        <w:fldChar w:fldCharType="end"/>
      </w:r>
      <w:r>
        <w:rPr>
          <w:noProof/>
        </w:rPr>
        <w:br w:type="page"/>
      </w:r>
    </w:p>
    <w:p w14:paraId="62A04D6D" w14:textId="77777777" w:rsidR="005B7986" w:rsidRPr="00507FC7" w:rsidRDefault="005B7986" w:rsidP="007F547F">
      <w:pPr>
        <w:shd w:val="clear" w:color="auto" w:fill="FFFFFF" w:themeFill="background1"/>
        <w:spacing w:after="120"/>
        <w:rPr>
          <w:rFonts w:ascii="Arial" w:hAnsi="Arial" w:cs="Arial"/>
          <w:bCs/>
          <w:color w:val="1F497D" w:themeColor="text2"/>
          <w:sz w:val="22"/>
          <w:szCs w:val="22"/>
        </w:rPr>
      </w:pPr>
    </w:p>
    <w:p w14:paraId="700596EA" w14:textId="76CE47AA" w:rsidR="009E5454" w:rsidRPr="00151F08" w:rsidRDefault="002C3E37" w:rsidP="007F547F">
      <w:pPr>
        <w:shd w:val="clear" w:color="auto" w:fill="FFFFFF" w:themeFill="background1"/>
        <w:spacing w:after="120"/>
        <w:rPr>
          <w:rFonts w:ascii="Arial Narrow" w:hAnsi="Arial Narrow" w:cs="Arial"/>
          <w:iCs/>
          <w:noProof/>
          <w:color w:val="1F497D" w:themeColor="text2"/>
          <w:sz w:val="22"/>
          <w:szCs w:val="22"/>
        </w:rPr>
      </w:pPr>
      <w:r w:rsidRPr="00151F08">
        <w:rPr>
          <w:rFonts w:ascii="Arial" w:hAnsi="Arial" w:cs="Arial"/>
          <w:b/>
          <w:color w:val="1F497D" w:themeColor="text2"/>
          <w:sz w:val="26"/>
          <w:szCs w:val="26"/>
        </w:rPr>
        <w:t>P</w:t>
      </w:r>
      <w:r w:rsidR="00253145" w:rsidRPr="00151F08">
        <w:rPr>
          <w:rFonts w:ascii="Arial" w:hAnsi="Arial" w:cs="Arial"/>
          <w:b/>
          <w:color w:val="1F497D" w:themeColor="text2"/>
          <w:sz w:val="26"/>
          <w:szCs w:val="26"/>
        </w:rPr>
        <w:t>iù di un matrimonio su due</w:t>
      </w:r>
      <w:r w:rsidRPr="00151F08">
        <w:rPr>
          <w:rFonts w:ascii="Arial" w:hAnsi="Arial" w:cs="Arial"/>
          <w:b/>
          <w:color w:val="1F497D" w:themeColor="text2"/>
          <w:sz w:val="26"/>
          <w:szCs w:val="26"/>
        </w:rPr>
        <w:t xml:space="preserve"> celebrato con rito civile</w:t>
      </w:r>
    </w:p>
    <w:p w14:paraId="25961A48" w14:textId="616A4989" w:rsidR="00832872" w:rsidRPr="00AE310A" w:rsidRDefault="00151F08" w:rsidP="007F547F">
      <w:pPr>
        <w:pStyle w:val="RAtesto"/>
        <w:shd w:val="clear" w:color="auto" w:fill="FFFFFF" w:themeFill="background1"/>
        <w:spacing w:line="240" w:lineRule="auto"/>
        <w:rPr>
          <w:rFonts w:ascii="Arial" w:hAnsi="Arial"/>
          <w:sz w:val="22"/>
          <w:szCs w:val="22"/>
        </w:rPr>
      </w:pPr>
      <w:r w:rsidRPr="00AE310A">
        <w:rPr>
          <w:rFonts w:ascii="Arial" w:hAnsi="Arial"/>
          <w:sz w:val="22"/>
          <w:szCs w:val="22"/>
        </w:rPr>
        <w:t xml:space="preserve">Nel 2022 il 56,4% dei matrimoni è stato </w:t>
      </w:r>
      <w:r w:rsidR="00AE310A" w:rsidRPr="00AE310A">
        <w:rPr>
          <w:rFonts w:ascii="Arial" w:hAnsi="Arial"/>
          <w:sz w:val="22"/>
          <w:szCs w:val="22"/>
        </w:rPr>
        <w:t>celebrato con rito civile, in continuità con il valore dell’anno precedente</w:t>
      </w:r>
      <w:r w:rsidR="00260AA5">
        <w:rPr>
          <w:rFonts w:ascii="Arial" w:hAnsi="Arial"/>
          <w:sz w:val="22"/>
          <w:szCs w:val="22"/>
        </w:rPr>
        <w:t xml:space="preserve"> (54,1%) e </w:t>
      </w:r>
      <w:r w:rsidR="005E659C">
        <w:rPr>
          <w:rFonts w:ascii="Arial" w:hAnsi="Arial"/>
          <w:sz w:val="22"/>
          <w:szCs w:val="22"/>
        </w:rPr>
        <w:t xml:space="preserve">in linea </w:t>
      </w:r>
      <w:r w:rsidR="00260AA5">
        <w:rPr>
          <w:rFonts w:ascii="Arial" w:hAnsi="Arial"/>
          <w:sz w:val="22"/>
          <w:szCs w:val="22"/>
        </w:rPr>
        <w:t xml:space="preserve">con </w:t>
      </w:r>
      <w:r w:rsidR="00AE310A" w:rsidRPr="00AE310A">
        <w:rPr>
          <w:rFonts w:ascii="Arial" w:hAnsi="Arial"/>
          <w:sz w:val="22"/>
          <w:szCs w:val="22"/>
        </w:rPr>
        <w:t>l’a</w:t>
      </w:r>
      <w:r w:rsidR="005E659C">
        <w:rPr>
          <w:rFonts w:ascii="Arial" w:hAnsi="Arial"/>
          <w:sz w:val="22"/>
          <w:szCs w:val="22"/>
        </w:rPr>
        <w:t>umento tendenziale</w:t>
      </w:r>
      <w:r w:rsidR="00AE310A" w:rsidRPr="00AE310A">
        <w:rPr>
          <w:rFonts w:ascii="Arial" w:hAnsi="Arial"/>
          <w:sz w:val="22"/>
          <w:szCs w:val="22"/>
        </w:rPr>
        <w:t xml:space="preserve"> osservato negli anni pre-pandemici (52,6% nel 2019). </w:t>
      </w:r>
      <w:r w:rsidR="005E659C">
        <w:rPr>
          <w:rFonts w:ascii="Arial" w:hAnsi="Arial"/>
          <w:sz w:val="22"/>
          <w:szCs w:val="22"/>
        </w:rPr>
        <w:t>L</w:t>
      </w:r>
      <w:r w:rsidR="00D874DE" w:rsidRPr="00AE310A">
        <w:rPr>
          <w:rFonts w:ascii="Arial" w:hAnsi="Arial"/>
          <w:sz w:val="22"/>
          <w:szCs w:val="22"/>
        </w:rPr>
        <w:t xml:space="preserve">a </w:t>
      </w:r>
      <w:r w:rsidR="00832872" w:rsidRPr="00AE310A">
        <w:rPr>
          <w:rFonts w:ascii="Arial" w:hAnsi="Arial"/>
          <w:sz w:val="22"/>
          <w:szCs w:val="22"/>
        </w:rPr>
        <w:t>quota</w:t>
      </w:r>
      <w:r w:rsidR="00AE310A" w:rsidRPr="00AE310A">
        <w:rPr>
          <w:rFonts w:ascii="Arial" w:hAnsi="Arial"/>
          <w:sz w:val="22"/>
          <w:szCs w:val="22"/>
        </w:rPr>
        <w:t xml:space="preserve"> particolarmente elevata d</w:t>
      </w:r>
      <w:r w:rsidR="00832872" w:rsidRPr="00AE310A">
        <w:rPr>
          <w:rFonts w:ascii="Arial" w:hAnsi="Arial"/>
          <w:sz w:val="22"/>
          <w:szCs w:val="22"/>
        </w:rPr>
        <w:t xml:space="preserve">i matrimoni civili </w:t>
      </w:r>
      <w:r w:rsidR="001E7FA8" w:rsidRPr="00AE310A">
        <w:rPr>
          <w:rFonts w:ascii="Arial" w:hAnsi="Arial"/>
          <w:sz w:val="22"/>
          <w:szCs w:val="22"/>
        </w:rPr>
        <w:t xml:space="preserve">osservata </w:t>
      </w:r>
      <w:r w:rsidR="00832872" w:rsidRPr="00AE310A">
        <w:rPr>
          <w:rFonts w:ascii="Arial" w:hAnsi="Arial"/>
          <w:sz w:val="22"/>
          <w:szCs w:val="22"/>
        </w:rPr>
        <w:t>nel 2020 (71,1%)</w:t>
      </w:r>
      <w:r w:rsidR="00D874DE" w:rsidRPr="00AE310A">
        <w:rPr>
          <w:rFonts w:ascii="Arial" w:hAnsi="Arial"/>
          <w:sz w:val="22"/>
          <w:szCs w:val="22"/>
        </w:rPr>
        <w:t xml:space="preserve"> </w:t>
      </w:r>
      <w:r w:rsidR="005E659C">
        <w:rPr>
          <w:rFonts w:ascii="Arial" w:hAnsi="Arial"/>
          <w:sz w:val="22"/>
          <w:szCs w:val="22"/>
        </w:rPr>
        <w:t>h</w:t>
      </w:r>
      <w:r w:rsidR="005E659C" w:rsidRPr="00AE310A">
        <w:rPr>
          <w:rFonts w:ascii="Arial" w:hAnsi="Arial"/>
          <w:sz w:val="22"/>
          <w:szCs w:val="22"/>
        </w:rPr>
        <w:t xml:space="preserve">a costituito </w:t>
      </w:r>
      <w:r w:rsidR="005E659C">
        <w:rPr>
          <w:rFonts w:ascii="Arial" w:hAnsi="Arial"/>
          <w:sz w:val="22"/>
          <w:szCs w:val="22"/>
        </w:rPr>
        <w:t xml:space="preserve">quindi </w:t>
      </w:r>
      <w:r w:rsidR="005E659C" w:rsidRPr="00AE310A">
        <w:rPr>
          <w:rFonts w:ascii="Arial" w:hAnsi="Arial"/>
          <w:sz w:val="22"/>
          <w:szCs w:val="22"/>
        </w:rPr>
        <w:t>un’eccezione</w:t>
      </w:r>
      <w:r w:rsidR="005E659C">
        <w:rPr>
          <w:rFonts w:ascii="Arial" w:hAnsi="Arial"/>
          <w:sz w:val="22"/>
          <w:szCs w:val="22"/>
        </w:rPr>
        <w:t>,</w:t>
      </w:r>
      <w:r w:rsidR="005E659C" w:rsidRPr="00AE310A">
        <w:rPr>
          <w:rFonts w:ascii="Arial" w:hAnsi="Arial"/>
          <w:sz w:val="22"/>
          <w:szCs w:val="22"/>
        </w:rPr>
        <w:t xml:space="preserve"> </w:t>
      </w:r>
      <w:r w:rsidR="005E659C">
        <w:rPr>
          <w:rFonts w:ascii="Arial" w:hAnsi="Arial"/>
          <w:sz w:val="22"/>
          <w:szCs w:val="22"/>
        </w:rPr>
        <w:t xml:space="preserve">determinata </w:t>
      </w:r>
      <w:r w:rsidR="00D874DE" w:rsidRPr="00AE310A">
        <w:rPr>
          <w:rFonts w:ascii="Arial" w:hAnsi="Arial"/>
          <w:sz w:val="22"/>
          <w:szCs w:val="22"/>
        </w:rPr>
        <w:t>d</w:t>
      </w:r>
      <w:r w:rsidR="005E659C">
        <w:rPr>
          <w:rFonts w:ascii="Arial" w:hAnsi="Arial"/>
          <w:sz w:val="22"/>
          <w:szCs w:val="22"/>
        </w:rPr>
        <w:t>a</w:t>
      </w:r>
      <w:r w:rsidR="00D874DE" w:rsidRPr="00AE310A">
        <w:rPr>
          <w:rFonts w:ascii="Arial" w:hAnsi="Arial"/>
          <w:sz w:val="22"/>
          <w:szCs w:val="22"/>
        </w:rPr>
        <w:t>lle</w:t>
      </w:r>
      <w:r w:rsidR="00832872" w:rsidRPr="00AE310A">
        <w:rPr>
          <w:rFonts w:ascii="Arial" w:hAnsi="Arial"/>
          <w:sz w:val="22"/>
          <w:szCs w:val="22"/>
        </w:rPr>
        <w:t xml:space="preserve"> </w:t>
      </w:r>
      <w:r w:rsidR="009E5454" w:rsidRPr="00AE310A">
        <w:rPr>
          <w:rFonts w:ascii="Arial" w:hAnsi="Arial"/>
          <w:sz w:val="22"/>
          <w:szCs w:val="22"/>
        </w:rPr>
        <w:t xml:space="preserve">misure di contenimento dell’emergenza sanitaria </w:t>
      </w:r>
      <w:r w:rsidR="00832872" w:rsidRPr="00AE310A">
        <w:rPr>
          <w:rFonts w:ascii="Arial" w:hAnsi="Arial"/>
          <w:sz w:val="22"/>
          <w:szCs w:val="22"/>
        </w:rPr>
        <w:t xml:space="preserve">che hanno </w:t>
      </w:r>
      <w:r w:rsidR="007F547F" w:rsidRPr="00AE310A">
        <w:rPr>
          <w:rFonts w:ascii="Arial" w:hAnsi="Arial"/>
          <w:sz w:val="22"/>
          <w:szCs w:val="22"/>
        </w:rPr>
        <w:t xml:space="preserve">colpito </w:t>
      </w:r>
      <w:r w:rsidR="00D874DE" w:rsidRPr="00AE310A">
        <w:rPr>
          <w:rFonts w:ascii="Arial" w:hAnsi="Arial"/>
          <w:sz w:val="22"/>
          <w:szCs w:val="22"/>
        </w:rPr>
        <w:t xml:space="preserve">soprattutto </w:t>
      </w:r>
      <w:r w:rsidR="00832872" w:rsidRPr="00AE310A">
        <w:rPr>
          <w:rFonts w:ascii="Arial" w:hAnsi="Arial"/>
          <w:sz w:val="22"/>
          <w:szCs w:val="22"/>
        </w:rPr>
        <w:t>le celebrazioni con rito religioso</w:t>
      </w:r>
      <w:r w:rsidR="00D874DE" w:rsidRPr="00AE310A">
        <w:rPr>
          <w:rFonts w:ascii="Arial" w:hAnsi="Arial"/>
          <w:sz w:val="22"/>
          <w:szCs w:val="22"/>
        </w:rPr>
        <w:t xml:space="preserve">. </w:t>
      </w:r>
    </w:p>
    <w:p w14:paraId="1C85388B" w14:textId="0668D265" w:rsidR="009E5454" w:rsidRPr="003A4A52" w:rsidRDefault="009E5454" w:rsidP="007F547F">
      <w:pPr>
        <w:spacing w:after="120"/>
        <w:jc w:val="both"/>
        <w:outlineLvl w:val="0"/>
        <w:rPr>
          <w:rFonts w:ascii="Arial" w:hAnsi="Arial" w:cs="Arial"/>
          <w:sz w:val="22"/>
          <w:szCs w:val="22"/>
        </w:rPr>
      </w:pPr>
      <w:r w:rsidRPr="003A4A52">
        <w:rPr>
          <w:rFonts w:ascii="Arial" w:hAnsi="Arial" w:cs="Arial"/>
          <w:sz w:val="22"/>
          <w:szCs w:val="22"/>
        </w:rPr>
        <w:t xml:space="preserve">Il rito civile è </w:t>
      </w:r>
      <w:r w:rsidR="003530E7" w:rsidRPr="003A4A52">
        <w:rPr>
          <w:rFonts w:ascii="Arial" w:hAnsi="Arial" w:cs="Arial"/>
          <w:sz w:val="22"/>
          <w:szCs w:val="22"/>
        </w:rPr>
        <w:t>chiaramente</w:t>
      </w:r>
      <w:r w:rsidRPr="003A4A52">
        <w:rPr>
          <w:rFonts w:ascii="Arial" w:hAnsi="Arial" w:cs="Arial"/>
          <w:sz w:val="22"/>
          <w:szCs w:val="22"/>
        </w:rPr>
        <w:t xml:space="preserve"> più diffuso nelle seconde nozze (9</w:t>
      </w:r>
      <w:r w:rsidR="003530E7" w:rsidRPr="003A4A52">
        <w:rPr>
          <w:rFonts w:ascii="Arial" w:hAnsi="Arial" w:cs="Arial"/>
          <w:sz w:val="22"/>
          <w:szCs w:val="22"/>
        </w:rPr>
        <w:t>5</w:t>
      </w:r>
      <w:r w:rsidRPr="003A4A52">
        <w:rPr>
          <w:rFonts w:ascii="Arial" w:hAnsi="Arial" w:cs="Arial"/>
          <w:sz w:val="22"/>
          <w:szCs w:val="22"/>
        </w:rPr>
        <w:t>,</w:t>
      </w:r>
      <w:r w:rsidR="003530E7" w:rsidRPr="003A4A52">
        <w:rPr>
          <w:rFonts w:ascii="Arial" w:hAnsi="Arial" w:cs="Arial"/>
          <w:sz w:val="22"/>
          <w:szCs w:val="22"/>
        </w:rPr>
        <w:t>0</w:t>
      </w:r>
      <w:r w:rsidRPr="003A4A52">
        <w:rPr>
          <w:rFonts w:ascii="Arial" w:hAnsi="Arial" w:cs="Arial"/>
          <w:sz w:val="22"/>
          <w:szCs w:val="22"/>
        </w:rPr>
        <w:t>%), essendo in molti casi una scelta obbligata</w:t>
      </w:r>
      <w:r w:rsidRPr="003A4A52">
        <w:rPr>
          <w:rStyle w:val="Rimandonotadichiusura"/>
          <w:rFonts w:ascii="Arial" w:hAnsi="Arial" w:cs="Arial"/>
          <w:sz w:val="22"/>
          <w:szCs w:val="22"/>
        </w:rPr>
        <w:endnoteReference w:id="3"/>
      </w:r>
      <w:r w:rsidRPr="003A4A52">
        <w:rPr>
          <w:rFonts w:ascii="Arial" w:hAnsi="Arial" w:cs="Arial"/>
          <w:sz w:val="22"/>
          <w:szCs w:val="22"/>
        </w:rPr>
        <w:t>, e nei matrimoni con almeno uno sposo straniero (9</w:t>
      </w:r>
      <w:r w:rsidR="003A4A52" w:rsidRPr="003A4A52">
        <w:rPr>
          <w:rFonts w:ascii="Arial" w:hAnsi="Arial" w:cs="Arial"/>
          <w:sz w:val="22"/>
          <w:szCs w:val="22"/>
        </w:rPr>
        <w:t>0</w:t>
      </w:r>
      <w:r w:rsidR="007E21AD" w:rsidRPr="003A4A52">
        <w:rPr>
          <w:rFonts w:ascii="Arial" w:hAnsi="Arial" w:cs="Arial"/>
          <w:sz w:val="22"/>
          <w:szCs w:val="22"/>
        </w:rPr>
        <w:t>,</w:t>
      </w:r>
      <w:r w:rsidR="003A4A52" w:rsidRPr="003A4A52">
        <w:rPr>
          <w:rFonts w:ascii="Arial" w:hAnsi="Arial" w:cs="Arial"/>
          <w:sz w:val="22"/>
          <w:szCs w:val="22"/>
        </w:rPr>
        <w:t>3</w:t>
      </w:r>
      <w:r w:rsidRPr="003A4A52">
        <w:rPr>
          <w:rFonts w:ascii="Arial" w:hAnsi="Arial" w:cs="Arial"/>
          <w:sz w:val="22"/>
          <w:szCs w:val="22"/>
        </w:rPr>
        <w:t xml:space="preserve">% </w:t>
      </w:r>
      <w:r w:rsidR="007F547F" w:rsidRPr="003A4A52">
        <w:rPr>
          <w:rFonts w:ascii="Arial" w:hAnsi="Arial" w:cs="Arial"/>
          <w:sz w:val="22"/>
          <w:szCs w:val="22"/>
        </w:rPr>
        <w:t>contro il</w:t>
      </w:r>
      <w:r w:rsidRPr="003A4A52">
        <w:rPr>
          <w:rFonts w:ascii="Arial" w:hAnsi="Arial" w:cs="Arial"/>
          <w:sz w:val="22"/>
          <w:szCs w:val="22"/>
        </w:rPr>
        <w:t xml:space="preserve"> </w:t>
      </w:r>
      <w:r w:rsidR="003A4A52" w:rsidRPr="003A4A52">
        <w:rPr>
          <w:rFonts w:ascii="Arial" w:hAnsi="Arial" w:cs="Arial"/>
          <w:sz w:val="22"/>
          <w:szCs w:val="22"/>
        </w:rPr>
        <w:t>50</w:t>
      </w:r>
      <w:r w:rsidRPr="003A4A52">
        <w:rPr>
          <w:rFonts w:ascii="Arial" w:hAnsi="Arial" w:cs="Arial"/>
          <w:sz w:val="22"/>
          <w:szCs w:val="22"/>
        </w:rPr>
        <w:t>,</w:t>
      </w:r>
      <w:r w:rsidR="003A4A52" w:rsidRPr="003A4A52">
        <w:rPr>
          <w:rFonts w:ascii="Arial" w:hAnsi="Arial" w:cs="Arial"/>
          <w:sz w:val="22"/>
          <w:szCs w:val="22"/>
        </w:rPr>
        <w:t>1</w:t>
      </w:r>
      <w:r w:rsidRPr="003A4A52">
        <w:rPr>
          <w:rFonts w:ascii="Arial" w:hAnsi="Arial" w:cs="Arial"/>
          <w:sz w:val="22"/>
          <w:szCs w:val="22"/>
        </w:rPr>
        <w:t xml:space="preserve">% dei matrimoni di </w:t>
      </w:r>
      <w:r w:rsidR="007F547F" w:rsidRPr="003A4A52">
        <w:rPr>
          <w:rFonts w:ascii="Arial" w:hAnsi="Arial" w:cs="Arial"/>
          <w:sz w:val="22"/>
          <w:szCs w:val="22"/>
        </w:rPr>
        <w:t xml:space="preserve">sposi </w:t>
      </w:r>
      <w:r w:rsidRPr="003A4A52">
        <w:rPr>
          <w:rFonts w:ascii="Arial" w:hAnsi="Arial" w:cs="Arial"/>
          <w:sz w:val="22"/>
          <w:szCs w:val="22"/>
        </w:rPr>
        <w:t>entrambi italiani).</w:t>
      </w:r>
      <w:r w:rsidRPr="003A4A52">
        <w:rPr>
          <w:rFonts w:ascii="Arial" w:hAnsi="Arial"/>
          <w:sz w:val="22"/>
          <w:szCs w:val="22"/>
        </w:rPr>
        <w:t xml:space="preserve"> </w:t>
      </w:r>
      <w:r w:rsidR="007F547F" w:rsidRPr="003A4A52">
        <w:rPr>
          <w:rFonts w:ascii="Arial" w:hAnsi="Arial" w:cs="Arial"/>
          <w:sz w:val="22"/>
          <w:szCs w:val="22"/>
        </w:rPr>
        <w:t>L</w:t>
      </w:r>
      <w:r w:rsidR="008D06D2" w:rsidRPr="003A4A52">
        <w:rPr>
          <w:rFonts w:ascii="Arial" w:hAnsi="Arial" w:cs="Arial"/>
          <w:sz w:val="22"/>
          <w:szCs w:val="22"/>
        </w:rPr>
        <w:t xml:space="preserve">a scelta del rito civile </w:t>
      </w:r>
      <w:r w:rsidR="004A59A2" w:rsidRPr="003A4A52">
        <w:rPr>
          <w:rFonts w:ascii="Arial" w:hAnsi="Arial" w:cs="Arial"/>
          <w:sz w:val="22"/>
          <w:szCs w:val="22"/>
        </w:rPr>
        <w:t xml:space="preserve">va </w:t>
      </w:r>
      <w:r w:rsidR="007F547F" w:rsidRPr="003A4A52">
        <w:rPr>
          <w:rFonts w:ascii="Arial" w:hAnsi="Arial" w:cs="Arial"/>
          <w:sz w:val="22"/>
          <w:szCs w:val="22"/>
        </w:rPr>
        <w:t xml:space="preserve">però </w:t>
      </w:r>
      <w:r w:rsidR="004A59A2" w:rsidRPr="003A4A52">
        <w:rPr>
          <w:rFonts w:ascii="Arial" w:hAnsi="Arial" w:cs="Arial"/>
          <w:sz w:val="22"/>
          <w:szCs w:val="22"/>
        </w:rPr>
        <w:t xml:space="preserve">diffondendosi </w:t>
      </w:r>
      <w:r w:rsidRPr="003A4A52">
        <w:rPr>
          <w:rFonts w:ascii="Arial" w:hAnsi="Arial" w:cs="Arial"/>
          <w:sz w:val="22"/>
          <w:szCs w:val="22"/>
        </w:rPr>
        <w:t xml:space="preserve">sempre </w:t>
      </w:r>
      <w:r w:rsidR="004A59A2" w:rsidRPr="003A4A52">
        <w:rPr>
          <w:rFonts w:ascii="Arial" w:hAnsi="Arial" w:cs="Arial"/>
          <w:sz w:val="22"/>
          <w:szCs w:val="22"/>
        </w:rPr>
        <w:t xml:space="preserve">di </w:t>
      </w:r>
      <w:r w:rsidRPr="003A4A52">
        <w:rPr>
          <w:rFonts w:ascii="Arial" w:hAnsi="Arial" w:cs="Arial"/>
          <w:sz w:val="22"/>
          <w:szCs w:val="22"/>
        </w:rPr>
        <w:t xml:space="preserve">più anche </w:t>
      </w:r>
      <w:r w:rsidR="00EE67FE">
        <w:rPr>
          <w:rFonts w:ascii="Arial" w:hAnsi="Arial" w:cs="Arial"/>
          <w:sz w:val="22"/>
          <w:szCs w:val="22"/>
        </w:rPr>
        <w:t>tra</w:t>
      </w:r>
      <w:r w:rsidRPr="003A4A52">
        <w:rPr>
          <w:rFonts w:ascii="Arial" w:hAnsi="Arial" w:cs="Arial"/>
          <w:sz w:val="22"/>
          <w:szCs w:val="22"/>
        </w:rPr>
        <w:t xml:space="preserve"> i primi matrimoni (</w:t>
      </w:r>
      <w:r w:rsidR="003530E7" w:rsidRPr="003A4A52">
        <w:rPr>
          <w:rFonts w:ascii="Arial" w:hAnsi="Arial" w:cs="Arial"/>
          <w:sz w:val="22"/>
          <w:szCs w:val="22"/>
        </w:rPr>
        <w:t>4</w:t>
      </w:r>
      <w:r w:rsidR="003A4A52" w:rsidRPr="003A4A52">
        <w:rPr>
          <w:rFonts w:ascii="Arial" w:hAnsi="Arial" w:cs="Arial"/>
          <w:sz w:val="22"/>
          <w:szCs w:val="22"/>
        </w:rPr>
        <w:t>5</w:t>
      </w:r>
      <w:r w:rsidRPr="003A4A52">
        <w:rPr>
          <w:rFonts w:ascii="Arial" w:hAnsi="Arial" w:cs="Arial"/>
          <w:sz w:val="22"/>
          <w:szCs w:val="22"/>
        </w:rPr>
        <w:t>,1% nel 202</w:t>
      </w:r>
      <w:r w:rsidR="003A4A52" w:rsidRPr="003A4A52">
        <w:rPr>
          <w:rFonts w:ascii="Arial" w:hAnsi="Arial" w:cs="Arial"/>
          <w:sz w:val="22"/>
          <w:szCs w:val="22"/>
        </w:rPr>
        <w:t>2</w:t>
      </w:r>
      <w:r w:rsidRPr="003A4A52">
        <w:rPr>
          <w:rFonts w:ascii="Arial" w:hAnsi="Arial" w:cs="Arial"/>
          <w:sz w:val="22"/>
          <w:szCs w:val="22"/>
        </w:rPr>
        <w:t>).</w:t>
      </w:r>
    </w:p>
    <w:p w14:paraId="682DBCCE" w14:textId="25BFC97B" w:rsidR="00F5771D" w:rsidRPr="00E42BAB" w:rsidRDefault="00F5771D" w:rsidP="007F547F">
      <w:pPr>
        <w:shd w:val="clear" w:color="auto" w:fill="FFFFFF" w:themeFill="background1"/>
        <w:spacing w:after="120"/>
        <w:jc w:val="both"/>
        <w:outlineLvl w:val="0"/>
        <w:rPr>
          <w:rFonts w:ascii="Arial" w:hAnsi="Arial" w:cs="Arial"/>
          <w:sz w:val="22"/>
          <w:szCs w:val="22"/>
          <w:highlight w:val="green"/>
        </w:rPr>
      </w:pPr>
      <w:r w:rsidRPr="00D34248">
        <w:rPr>
          <w:rFonts w:ascii="Arial" w:hAnsi="Arial" w:cs="Arial"/>
          <w:sz w:val="22"/>
          <w:szCs w:val="22"/>
        </w:rPr>
        <w:t xml:space="preserve">Considerando i primi matrimoni </w:t>
      </w:r>
      <w:r w:rsidR="007C29C5" w:rsidRPr="00D34248">
        <w:rPr>
          <w:rFonts w:ascii="Arial" w:hAnsi="Arial" w:cs="Arial"/>
          <w:sz w:val="22"/>
          <w:szCs w:val="22"/>
        </w:rPr>
        <w:t>tra</w:t>
      </w:r>
      <w:r w:rsidRPr="00D34248">
        <w:rPr>
          <w:rFonts w:ascii="Arial" w:hAnsi="Arial" w:cs="Arial"/>
          <w:sz w:val="22"/>
          <w:szCs w:val="22"/>
        </w:rPr>
        <w:t xml:space="preserve"> sposi entrambi italiani</w:t>
      </w:r>
      <w:r w:rsidR="00DE4BC2" w:rsidRPr="00D34248">
        <w:rPr>
          <w:rFonts w:ascii="Arial" w:hAnsi="Arial" w:cs="Arial"/>
          <w:sz w:val="22"/>
          <w:szCs w:val="22"/>
        </w:rPr>
        <w:t xml:space="preserve"> (</w:t>
      </w:r>
      <w:r w:rsidR="00E257A7" w:rsidRPr="00D34248">
        <w:rPr>
          <w:rFonts w:ascii="Arial" w:hAnsi="Arial" w:cs="Arial"/>
          <w:sz w:val="22"/>
          <w:szCs w:val="22"/>
        </w:rPr>
        <w:t>8</w:t>
      </w:r>
      <w:r w:rsidR="00D34248" w:rsidRPr="00D34248">
        <w:rPr>
          <w:rFonts w:ascii="Arial" w:hAnsi="Arial" w:cs="Arial"/>
          <w:sz w:val="22"/>
          <w:szCs w:val="22"/>
        </w:rPr>
        <w:t>6</w:t>
      </w:r>
      <w:r w:rsidR="00E257A7" w:rsidRPr="00D34248">
        <w:rPr>
          <w:rFonts w:ascii="Arial" w:hAnsi="Arial" w:cs="Arial"/>
          <w:sz w:val="22"/>
          <w:szCs w:val="22"/>
        </w:rPr>
        <w:t>,</w:t>
      </w:r>
      <w:r w:rsidR="00D34248" w:rsidRPr="00D34248">
        <w:rPr>
          <w:rFonts w:ascii="Arial" w:hAnsi="Arial" w:cs="Arial"/>
          <w:sz w:val="22"/>
          <w:szCs w:val="22"/>
        </w:rPr>
        <w:t>5</w:t>
      </w:r>
      <w:r w:rsidRPr="00D34248">
        <w:rPr>
          <w:rFonts w:ascii="Arial" w:hAnsi="Arial" w:cs="Arial"/>
          <w:sz w:val="22"/>
          <w:szCs w:val="22"/>
        </w:rPr>
        <w:t>% del totale dei primi matrimoni</w:t>
      </w:r>
      <w:r w:rsidR="00DE4BC2" w:rsidRPr="00D34248">
        <w:rPr>
          <w:rFonts w:ascii="Arial" w:hAnsi="Arial" w:cs="Arial"/>
          <w:sz w:val="22"/>
          <w:szCs w:val="22"/>
        </w:rPr>
        <w:t>)</w:t>
      </w:r>
      <w:r w:rsidRPr="0026024B">
        <w:rPr>
          <w:rFonts w:ascii="Arial" w:hAnsi="Arial" w:cs="Arial"/>
          <w:sz w:val="22"/>
          <w:szCs w:val="22"/>
        </w:rPr>
        <w:t xml:space="preserve"> l’incidenza di quelli celebrati con rito civile è del </w:t>
      </w:r>
      <w:r w:rsidR="0035454A" w:rsidRPr="0026024B">
        <w:rPr>
          <w:rFonts w:ascii="Arial" w:hAnsi="Arial" w:cs="Arial"/>
          <w:sz w:val="22"/>
          <w:szCs w:val="22"/>
        </w:rPr>
        <w:t>3</w:t>
      </w:r>
      <w:r w:rsidR="0026024B" w:rsidRPr="0026024B">
        <w:rPr>
          <w:rFonts w:ascii="Arial" w:hAnsi="Arial" w:cs="Arial"/>
          <w:sz w:val="22"/>
          <w:szCs w:val="22"/>
        </w:rPr>
        <w:t>8</w:t>
      </w:r>
      <w:r w:rsidRPr="0026024B">
        <w:rPr>
          <w:rFonts w:ascii="Arial" w:hAnsi="Arial" w:cs="Arial"/>
          <w:sz w:val="22"/>
          <w:szCs w:val="22"/>
        </w:rPr>
        <w:t>,</w:t>
      </w:r>
      <w:r w:rsidR="0026024B" w:rsidRPr="0026024B">
        <w:rPr>
          <w:rFonts w:ascii="Arial" w:hAnsi="Arial" w:cs="Arial"/>
          <w:sz w:val="22"/>
          <w:szCs w:val="22"/>
        </w:rPr>
        <w:t>7</w:t>
      </w:r>
      <w:r w:rsidRPr="0026024B">
        <w:rPr>
          <w:rFonts w:ascii="Arial" w:hAnsi="Arial" w:cs="Arial"/>
          <w:sz w:val="22"/>
          <w:szCs w:val="22"/>
        </w:rPr>
        <w:t>% nel 202</w:t>
      </w:r>
      <w:r w:rsidR="0026024B" w:rsidRPr="0026024B">
        <w:rPr>
          <w:rFonts w:ascii="Arial" w:hAnsi="Arial" w:cs="Arial"/>
          <w:sz w:val="22"/>
          <w:szCs w:val="22"/>
        </w:rPr>
        <w:t>2</w:t>
      </w:r>
      <w:r w:rsidRPr="0026024B">
        <w:rPr>
          <w:rFonts w:ascii="Arial" w:hAnsi="Arial" w:cs="Arial"/>
          <w:sz w:val="22"/>
          <w:szCs w:val="22"/>
        </w:rPr>
        <w:t xml:space="preserve"> (33,4% nel 2019 e 20,0% nel 2008). </w:t>
      </w:r>
      <w:r w:rsidR="005E659C">
        <w:rPr>
          <w:rFonts w:ascii="Arial" w:hAnsi="Arial" w:cs="Arial"/>
          <w:sz w:val="22"/>
          <w:szCs w:val="22"/>
        </w:rPr>
        <w:t>L</w:t>
      </w:r>
      <w:r w:rsidR="005E659C" w:rsidRPr="00D34248">
        <w:rPr>
          <w:rFonts w:ascii="Arial" w:hAnsi="Arial" w:cs="Arial"/>
          <w:sz w:val="22"/>
          <w:szCs w:val="22"/>
        </w:rPr>
        <w:t xml:space="preserve">a variabilità territoriale </w:t>
      </w:r>
      <w:r w:rsidR="005E659C">
        <w:rPr>
          <w:rFonts w:ascii="Arial" w:hAnsi="Arial" w:cs="Arial"/>
          <w:sz w:val="22"/>
          <w:szCs w:val="22"/>
        </w:rPr>
        <w:t>p</w:t>
      </w:r>
      <w:r w:rsidR="007C29C5" w:rsidRPr="00D34248">
        <w:rPr>
          <w:rFonts w:ascii="Arial" w:hAnsi="Arial" w:cs="Arial"/>
          <w:sz w:val="22"/>
          <w:szCs w:val="22"/>
        </w:rPr>
        <w:t>er tale tipologia di coppia</w:t>
      </w:r>
      <w:r w:rsidR="007F547F" w:rsidRPr="00D34248">
        <w:rPr>
          <w:rFonts w:ascii="Arial" w:hAnsi="Arial" w:cs="Arial"/>
          <w:sz w:val="22"/>
          <w:szCs w:val="22"/>
        </w:rPr>
        <w:t xml:space="preserve"> è spiccata: si riscontrano incidenze di celebrazioni con rito civile </w:t>
      </w:r>
      <w:r w:rsidR="007C29C5" w:rsidRPr="00D34248">
        <w:rPr>
          <w:rFonts w:ascii="Arial" w:hAnsi="Arial" w:cs="Arial"/>
          <w:sz w:val="22"/>
          <w:szCs w:val="22"/>
        </w:rPr>
        <w:t>più basse nel Mezzogiorno (2</w:t>
      </w:r>
      <w:r w:rsidR="00D34248" w:rsidRPr="00D34248">
        <w:rPr>
          <w:rFonts w:ascii="Arial" w:hAnsi="Arial" w:cs="Arial"/>
          <w:sz w:val="22"/>
          <w:szCs w:val="22"/>
        </w:rPr>
        <w:t>3</w:t>
      </w:r>
      <w:r w:rsidR="007C29C5" w:rsidRPr="00D34248">
        <w:rPr>
          <w:rFonts w:ascii="Arial" w:hAnsi="Arial" w:cs="Arial"/>
          <w:sz w:val="22"/>
          <w:szCs w:val="22"/>
        </w:rPr>
        <w:t>,4%)</w:t>
      </w:r>
      <w:r w:rsidR="007F547F" w:rsidRPr="00D34248">
        <w:rPr>
          <w:rFonts w:ascii="Arial" w:hAnsi="Arial" w:cs="Arial"/>
          <w:sz w:val="22"/>
          <w:szCs w:val="22"/>
        </w:rPr>
        <w:t xml:space="preserve"> e</w:t>
      </w:r>
      <w:r w:rsidR="00C74129" w:rsidRPr="00D34248">
        <w:rPr>
          <w:rFonts w:ascii="Arial" w:hAnsi="Arial" w:cs="Arial"/>
          <w:sz w:val="22"/>
          <w:szCs w:val="22"/>
        </w:rPr>
        <w:t xml:space="preserve"> più alte nel Centro (4</w:t>
      </w:r>
      <w:r w:rsidR="00D34248" w:rsidRPr="00D34248">
        <w:rPr>
          <w:rFonts w:ascii="Arial" w:hAnsi="Arial" w:cs="Arial"/>
          <w:sz w:val="22"/>
          <w:szCs w:val="22"/>
        </w:rPr>
        <w:t>9</w:t>
      </w:r>
      <w:r w:rsidR="00C74129" w:rsidRPr="00D34248">
        <w:rPr>
          <w:rFonts w:ascii="Arial" w:hAnsi="Arial" w:cs="Arial"/>
          <w:sz w:val="22"/>
          <w:szCs w:val="22"/>
        </w:rPr>
        <w:t>,</w:t>
      </w:r>
      <w:r w:rsidR="00D34248" w:rsidRPr="00D34248">
        <w:rPr>
          <w:rFonts w:ascii="Arial" w:hAnsi="Arial" w:cs="Arial"/>
          <w:sz w:val="22"/>
          <w:szCs w:val="22"/>
        </w:rPr>
        <w:t>3</w:t>
      </w:r>
      <w:r w:rsidR="00C74129" w:rsidRPr="00D34248">
        <w:rPr>
          <w:rFonts w:ascii="Arial" w:hAnsi="Arial" w:cs="Arial"/>
          <w:sz w:val="22"/>
          <w:szCs w:val="22"/>
        </w:rPr>
        <w:t>%)</w:t>
      </w:r>
      <w:r w:rsidRPr="00D34248">
        <w:rPr>
          <w:rFonts w:ascii="Arial" w:hAnsi="Arial" w:cs="Arial"/>
          <w:sz w:val="22"/>
          <w:szCs w:val="22"/>
        </w:rPr>
        <w:t>.</w:t>
      </w:r>
      <w:r w:rsidR="007F547F" w:rsidRPr="00D34248">
        <w:rPr>
          <w:rFonts w:ascii="Arial" w:hAnsi="Arial" w:cs="Arial"/>
          <w:sz w:val="22"/>
          <w:szCs w:val="22"/>
        </w:rPr>
        <w:t xml:space="preserve"> </w:t>
      </w:r>
    </w:p>
    <w:p w14:paraId="4D2626A7" w14:textId="23B67B6F" w:rsidR="0066209F" w:rsidRDefault="009209D8" w:rsidP="007F547F">
      <w:pPr>
        <w:spacing w:after="120"/>
        <w:jc w:val="both"/>
        <w:outlineLvl w:val="0"/>
        <w:rPr>
          <w:rFonts w:ascii="Arial" w:hAnsi="Arial" w:cs="Arial"/>
          <w:sz w:val="22"/>
          <w:szCs w:val="22"/>
        </w:rPr>
      </w:pPr>
      <w:r w:rsidRPr="00862F68">
        <w:rPr>
          <w:rFonts w:ascii="Arial" w:hAnsi="Arial" w:cs="Arial"/>
          <w:sz w:val="22"/>
          <w:szCs w:val="22"/>
        </w:rPr>
        <w:t>La</w:t>
      </w:r>
      <w:r w:rsidR="0066209F" w:rsidRPr="00862F68">
        <w:rPr>
          <w:rFonts w:ascii="Arial" w:hAnsi="Arial" w:cs="Arial"/>
          <w:sz w:val="22"/>
          <w:szCs w:val="22"/>
        </w:rPr>
        <w:t xml:space="preserve"> scelta del regime patrimoniale di separazione dei beni</w:t>
      </w:r>
      <w:r w:rsidRPr="00862F68">
        <w:rPr>
          <w:rFonts w:ascii="Arial" w:hAnsi="Arial" w:cs="Arial"/>
          <w:sz w:val="22"/>
          <w:szCs w:val="22"/>
        </w:rPr>
        <w:t>,</w:t>
      </w:r>
      <w:r w:rsidR="0066209F" w:rsidRPr="00862F68">
        <w:rPr>
          <w:rFonts w:ascii="Arial" w:hAnsi="Arial" w:cs="Arial"/>
          <w:sz w:val="22"/>
          <w:szCs w:val="22"/>
        </w:rPr>
        <w:t xml:space="preserve"> </w:t>
      </w:r>
      <w:r w:rsidRPr="00862F68">
        <w:rPr>
          <w:rFonts w:ascii="Arial" w:hAnsi="Arial" w:cs="Arial"/>
          <w:sz w:val="22"/>
          <w:szCs w:val="22"/>
        </w:rPr>
        <w:t>tendenzialmente in</w:t>
      </w:r>
      <w:r w:rsidR="0066209F" w:rsidRPr="00862F68">
        <w:rPr>
          <w:rFonts w:ascii="Arial" w:hAnsi="Arial" w:cs="Arial"/>
          <w:sz w:val="22"/>
          <w:szCs w:val="22"/>
        </w:rPr>
        <w:t xml:space="preserve"> crescita</w:t>
      </w:r>
      <w:r w:rsidRPr="00862F68">
        <w:rPr>
          <w:rFonts w:ascii="Arial" w:hAnsi="Arial" w:cs="Arial"/>
          <w:sz w:val="22"/>
          <w:szCs w:val="22"/>
        </w:rPr>
        <w:t xml:space="preserve"> rispetto al passato (62,7% nel </w:t>
      </w:r>
      <w:r w:rsidR="008F6FD6" w:rsidRPr="00862F68">
        <w:rPr>
          <w:rFonts w:ascii="Arial" w:hAnsi="Arial" w:cs="Arial"/>
          <w:sz w:val="22"/>
          <w:szCs w:val="22"/>
        </w:rPr>
        <w:t xml:space="preserve">2008, 40,9% nel 1995), </w:t>
      </w:r>
      <w:r w:rsidR="00862F68" w:rsidRPr="00862F68">
        <w:rPr>
          <w:rFonts w:ascii="Arial" w:hAnsi="Arial" w:cs="Arial"/>
          <w:sz w:val="22"/>
          <w:szCs w:val="22"/>
        </w:rPr>
        <w:t xml:space="preserve">conferma la stessa quota del 2021 (73,4%), in </w:t>
      </w:r>
      <w:r w:rsidR="008F6FD6" w:rsidRPr="00862F68">
        <w:rPr>
          <w:rFonts w:ascii="Arial" w:hAnsi="Arial" w:cs="Arial"/>
          <w:sz w:val="22"/>
          <w:szCs w:val="22"/>
        </w:rPr>
        <w:t xml:space="preserve">lieve contrazione </w:t>
      </w:r>
      <w:r w:rsidR="00862F68" w:rsidRPr="00862F68">
        <w:rPr>
          <w:rFonts w:ascii="Arial" w:hAnsi="Arial" w:cs="Arial"/>
          <w:sz w:val="22"/>
          <w:szCs w:val="22"/>
        </w:rPr>
        <w:t xml:space="preserve">rispetto al 2020 </w:t>
      </w:r>
      <w:r w:rsidR="007F547F" w:rsidRPr="00862F68">
        <w:rPr>
          <w:rFonts w:ascii="Arial" w:hAnsi="Arial" w:cs="Arial"/>
          <w:sz w:val="22"/>
          <w:szCs w:val="22"/>
        </w:rPr>
        <w:t>(</w:t>
      </w:r>
      <w:r w:rsidRPr="00862F68">
        <w:rPr>
          <w:rFonts w:ascii="Arial" w:hAnsi="Arial" w:cs="Arial"/>
          <w:sz w:val="22"/>
          <w:szCs w:val="22"/>
        </w:rPr>
        <w:t>7</w:t>
      </w:r>
      <w:r w:rsidR="008F6FD6" w:rsidRPr="00862F68">
        <w:rPr>
          <w:rFonts w:ascii="Arial" w:hAnsi="Arial" w:cs="Arial"/>
          <w:sz w:val="22"/>
          <w:szCs w:val="22"/>
        </w:rPr>
        <w:t>4</w:t>
      </w:r>
      <w:r w:rsidRPr="00862F68">
        <w:rPr>
          <w:rFonts w:ascii="Arial" w:hAnsi="Arial" w:cs="Arial"/>
          <w:sz w:val="22"/>
          <w:szCs w:val="22"/>
        </w:rPr>
        <w:t>,</w:t>
      </w:r>
      <w:r w:rsidR="008F6FD6" w:rsidRPr="00862F68">
        <w:rPr>
          <w:rFonts w:ascii="Arial" w:hAnsi="Arial" w:cs="Arial"/>
          <w:sz w:val="22"/>
          <w:szCs w:val="22"/>
        </w:rPr>
        <w:t>7</w:t>
      </w:r>
      <w:r w:rsidR="00862F68" w:rsidRPr="00862F68">
        <w:rPr>
          <w:rFonts w:ascii="Arial" w:hAnsi="Arial" w:cs="Arial"/>
          <w:sz w:val="22"/>
          <w:szCs w:val="22"/>
        </w:rPr>
        <w:t>%</w:t>
      </w:r>
      <w:r w:rsidR="007F547F" w:rsidRPr="00862F68">
        <w:rPr>
          <w:rFonts w:ascii="Arial" w:hAnsi="Arial" w:cs="Arial"/>
          <w:sz w:val="22"/>
          <w:szCs w:val="22"/>
        </w:rPr>
        <w:t>)</w:t>
      </w:r>
      <w:r w:rsidR="008F6FD6" w:rsidRPr="00862F68">
        <w:rPr>
          <w:rFonts w:ascii="Arial" w:hAnsi="Arial" w:cs="Arial"/>
          <w:sz w:val="22"/>
          <w:szCs w:val="22"/>
        </w:rPr>
        <w:t>.</w:t>
      </w:r>
    </w:p>
    <w:p w14:paraId="15807168" w14:textId="08BAF22E" w:rsidR="007F547F" w:rsidRPr="001078F4" w:rsidRDefault="007F547F" w:rsidP="007F547F">
      <w:pPr>
        <w:spacing w:after="120"/>
        <w:jc w:val="both"/>
        <w:outlineLvl w:val="0"/>
        <w:rPr>
          <w:rFonts w:ascii="Arial" w:hAnsi="Arial" w:cs="Arial"/>
          <w:sz w:val="12"/>
          <w:szCs w:val="22"/>
        </w:rPr>
      </w:pPr>
    </w:p>
    <w:p w14:paraId="26F0C9DD" w14:textId="63A29382" w:rsidR="00AA1984" w:rsidRPr="001078F4" w:rsidRDefault="005B7986" w:rsidP="001078F4">
      <w:pPr>
        <w:shd w:val="clear" w:color="auto" w:fill="FFFFFF" w:themeFill="background1"/>
        <w:spacing w:after="120"/>
        <w:rPr>
          <w:rFonts w:ascii="Arial" w:hAnsi="Arial" w:cs="Arial"/>
          <w:b/>
          <w:color w:val="1F497D" w:themeColor="text2"/>
          <w:sz w:val="26"/>
          <w:szCs w:val="26"/>
        </w:rPr>
      </w:pPr>
      <w:r>
        <w:rPr>
          <w:rFonts w:ascii="Arial" w:hAnsi="Arial" w:cs="Arial"/>
          <w:b/>
          <w:color w:val="1F497D" w:themeColor="text2"/>
          <w:sz w:val="26"/>
          <w:szCs w:val="26"/>
        </w:rPr>
        <w:t>Ci si sposa più tardi</w:t>
      </w:r>
    </w:p>
    <w:p w14:paraId="7E7CF8A0" w14:textId="02F60A6F" w:rsidR="00AA1984" w:rsidRPr="0026024B" w:rsidRDefault="00AA1984" w:rsidP="001E7FA8">
      <w:pPr>
        <w:spacing w:after="120"/>
        <w:jc w:val="both"/>
        <w:rPr>
          <w:rFonts w:ascii="Arial" w:hAnsi="Arial" w:cs="Arial"/>
          <w:sz w:val="22"/>
          <w:szCs w:val="22"/>
        </w:rPr>
      </w:pPr>
      <w:r w:rsidRPr="0026024B">
        <w:rPr>
          <w:rFonts w:ascii="Arial" w:hAnsi="Arial" w:cs="Arial"/>
          <w:sz w:val="22"/>
          <w:szCs w:val="22"/>
        </w:rPr>
        <w:t xml:space="preserve">Il mutamento nei modelli culturali, nonché l’effetto di molteplici fattori quali l’aumento diffuso della scolarizzazione e l’allungamento dei tempi formativi, le difficoltà nell’ingresso nel mondo del lavoro e la condizione di precarietà del lavoro stesso hanno comportato, negli anni, una progressiva posticipazione del calendario di uscita dalla famiglia di origine. </w:t>
      </w:r>
      <w:r w:rsidR="002D2DCF">
        <w:rPr>
          <w:rFonts w:ascii="Arial" w:hAnsi="Arial" w:cs="Arial"/>
          <w:sz w:val="22"/>
          <w:szCs w:val="22"/>
        </w:rPr>
        <w:t>L</w:t>
      </w:r>
      <w:r w:rsidRPr="0026024B">
        <w:rPr>
          <w:rFonts w:ascii="Arial" w:hAnsi="Arial" w:cs="Arial"/>
          <w:sz w:val="22"/>
          <w:szCs w:val="22"/>
        </w:rPr>
        <w:t xml:space="preserve">a quota di giovani che resta nella famiglia di origine fino alla soglia dei 35 anni è </w:t>
      </w:r>
      <w:r w:rsidR="00EE1FF4">
        <w:rPr>
          <w:rFonts w:ascii="Arial" w:hAnsi="Arial" w:cs="Arial"/>
          <w:sz w:val="22"/>
          <w:szCs w:val="22"/>
        </w:rPr>
        <w:t xml:space="preserve">pari al </w:t>
      </w:r>
      <w:r w:rsidR="003C60BB">
        <w:rPr>
          <w:rFonts w:ascii="Arial" w:hAnsi="Arial" w:cs="Arial"/>
          <w:sz w:val="22"/>
          <w:szCs w:val="22"/>
        </w:rPr>
        <w:t>61,2%</w:t>
      </w:r>
      <w:r w:rsidR="00EE1FF4">
        <w:rPr>
          <w:rFonts w:ascii="Arial" w:hAnsi="Arial" w:cs="Arial"/>
          <w:sz w:val="22"/>
          <w:szCs w:val="22"/>
        </w:rPr>
        <w:t xml:space="preserve">, </w:t>
      </w:r>
      <w:r w:rsidRPr="0026024B">
        <w:rPr>
          <w:rFonts w:ascii="Arial" w:hAnsi="Arial" w:cs="Arial"/>
          <w:sz w:val="22"/>
          <w:szCs w:val="22"/>
        </w:rPr>
        <w:t xml:space="preserve">quasi </w:t>
      </w:r>
      <w:r w:rsidR="00DD25FC" w:rsidRPr="0026024B">
        <w:rPr>
          <w:rFonts w:ascii="Arial" w:hAnsi="Arial" w:cs="Arial"/>
          <w:sz w:val="22"/>
          <w:szCs w:val="22"/>
        </w:rPr>
        <w:t>tre</w:t>
      </w:r>
      <w:r w:rsidRPr="0026024B">
        <w:rPr>
          <w:rFonts w:ascii="Arial" w:hAnsi="Arial" w:cs="Arial"/>
          <w:sz w:val="22"/>
          <w:szCs w:val="22"/>
        </w:rPr>
        <w:t xml:space="preserve"> punti percentuali</w:t>
      </w:r>
      <w:r w:rsidR="00EE1FF4">
        <w:rPr>
          <w:rFonts w:ascii="Arial" w:hAnsi="Arial" w:cs="Arial"/>
          <w:sz w:val="22"/>
          <w:szCs w:val="22"/>
        </w:rPr>
        <w:t xml:space="preserve"> in più i</w:t>
      </w:r>
      <w:r w:rsidR="00EE1FF4" w:rsidRPr="0026024B">
        <w:rPr>
          <w:rFonts w:ascii="Arial" w:hAnsi="Arial" w:cs="Arial"/>
          <w:sz w:val="22"/>
          <w:szCs w:val="22"/>
        </w:rPr>
        <w:t>n meno di 20 anni</w:t>
      </w:r>
      <w:r w:rsidRPr="0026024B">
        <w:rPr>
          <w:rStyle w:val="Rimandonotadichiusura"/>
          <w:rFonts w:ascii="Arial" w:hAnsi="Arial" w:cs="Arial"/>
          <w:sz w:val="22"/>
          <w:szCs w:val="22"/>
        </w:rPr>
        <w:endnoteReference w:id="4"/>
      </w:r>
      <w:r w:rsidRPr="0026024B">
        <w:rPr>
          <w:rFonts w:ascii="Arial" w:hAnsi="Arial" w:cs="Arial"/>
          <w:sz w:val="22"/>
          <w:szCs w:val="22"/>
        </w:rPr>
        <w:t>.</w:t>
      </w:r>
    </w:p>
    <w:p w14:paraId="71B0C75A" w14:textId="3FFA3825" w:rsidR="00543F8E" w:rsidRPr="0026024B" w:rsidRDefault="00AA1984" w:rsidP="001E7FA8">
      <w:pPr>
        <w:spacing w:after="120"/>
        <w:jc w:val="both"/>
        <w:rPr>
          <w:rFonts w:ascii="Arial" w:hAnsi="Arial" w:cs="Arial"/>
          <w:sz w:val="22"/>
          <w:szCs w:val="22"/>
        </w:rPr>
      </w:pPr>
      <w:r w:rsidRPr="0026024B">
        <w:rPr>
          <w:rFonts w:ascii="Arial" w:hAnsi="Arial" w:cs="Arial"/>
          <w:sz w:val="22"/>
          <w:szCs w:val="22"/>
        </w:rPr>
        <w:t xml:space="preserve">Questa protratta permanenza comporta anche un effetto diretto sul rinvio delle prime nozze. </w:t>
      </w:r>
      <w:r w:rsidR="000156A7" w:rsidRPr="0026024B">
        <w:rPr>
          <w:rFonts w:ascii="Arial" w:hAnsi="Arial" w:cs="Arial"/>
          <w:sz w:val="22"/>
          <w:szCs w:val="22"/>
        </w:rPr>
        <w:t>Tale effetto si amplifica nei periodi di congiuntura economica sfavorevole spingendo i giovani a ritardare ulteriormente, rispetto alle generazioni precedenti, le tappe dei percorsi verso la vita adulta, tra cui quella della formazione di una famiglia</w:t>
      </w:r>
      <w:r w:rsidR="000156A7" w:rsidRPr="0026024B">
        <w:rPr>
          <w:rStyle w:val="Rimandonotadichiusura"/>
          <w:rFonts w:ascii="Arial" w:hAnsi="Arial" w:cs="Arial"/>
          <w:sz w:val="22"/>
          <w:szCs w:val="22"/>
        </w:rPr>
        <w:endnoteReference w:id="5"/>
      </w:r>
      <w:r w:rsidR="002C3E37" w:rsidRPr="0026024B">
        <w:rPr>
          <w:rFonts w:ascii="Arial" w:hAnsi="Arial" w:cs="Arial"/>
          <w:sz w:val="22"/>
          <w:szCs w:val="22"/>
        </w:rPr>
        <w:t>.</w:t>
      </w:r>
      <w:r w:rsidR="000156A7" w:rsidRPr="0026024B">
        <w:rPr>
          <w:rFonts w:ascii="Arial" w:hAnsi="Arial" w:cs="Arial"/>
          <w:sz w:val="22"/>
          <w:szCs w:val="22"/>
        </w:rPr>
        <w:t xml:space="preserve"> Sul posticipo del primo matrimonio</w:t>
      </w:r>
      <w:r w:rsidR="00EE1FF4">
        <w:rPr>
          <w:rFonts w:ascii="Arial" w:hAnsi="Arial" w:cs="Arial"/>
          <w:sz w:val="22"/>
          <w:szCs w:val="22"/>
        </w:rPr>
        <w:t>, inoltre,</w:t>
      </w:r>
      <w:r w:rsidR="000156A7" w:rsidRPr="0026024B">
        <w:rPr>
          <w:rFonts w:ascii="Arial" w:hAnsi="Arial" w:cs="Arial"/>
          <w:sz w:val="22"/>
          <w:szCs w:val="22"/>
        </w:rPr>
        <w:t xml:space="preserve"> incide </w:t>
      </w:r>
      <w:r w:rsidR="002C3E37" w:rsidRPr="0026024B">
        <w:rPr>
          <w:rFonts w:ascii="Arial" w:hAnsi="Arial" w:cs="Arial"/>
          <w:sz w:val="22"/>
          <w:szCs w:val="22"/>
        </w:rPr>
        <w:t>anche</w:t>
      </w:r>
      <w:r w:rsidR="000156A7" w:rsidRPr="0026024B">
        <w:rPr>
          <w:rFonts w:ascii="Arial" w:hAnsi="Arial" w:cs="Arial"/>
          <w:sz w:val="22"/>
          <w:szCs w:val="22"/>
        </w:rPr>
        <w:t xml:space="preserve"> la diffusione delle convivenze prematrimoniali.</w:t>
      </w:r>
    </w:p>
    <w:p w14:paraId="0C9A7C4D" w14:textId="53FF0646" w:rsidR="00B1483B" w:rsidRDefault="002D2DCF" w:rsidP="00CE0D5C">
      <w:pPr>
        <w:spacing w:after="120"/>
        <w:jc w:val="both"/>
        <w:outlineLvl w:val="0"/>
        <w:rPr>
          <w:rFonts w:ascii="Arial" w:hAnsi="Arial" w:cs="Arial"/>
          <w:sz w:val="22"/>
          <w:szCs w:val="22"/>
        </w:rPr>
      </w:pPr>
      <w:r>
        <w:rPr>
          <w:rFonts w:ascii="Arial" w:hAnsi="Arial" w:cs="Arial"/>
          <w:sz w:val="22"/>
          <w:szCs w:val="22"/>
        </w:rPr>
        <w:t>L’analisi</w:t>
      </w:r>
      <w:r w:rsidR="00514958" w:rsidRPr="0026024B">
        <w:rPr>
          <w:rFonts w:ascii="Arial" w:hAnsi="Arial" w:cs="Arial"/>
          <w:sz w:val="22"/>
          <w:szCs w:val="22"/>
        </w:rPr>
        <w:t xml:space="preserve"> </w:t>
      </w:r>
      <w:r w:rsidR="00EE1FF4">
        <w:rPr>
          <w:rFonts w:ascii="Arial" w:hAnsi="Arial" w:cs="Arial"/>
          <w:sz w:val="22"/>
          <w:szCs w:val="22"/>
        </w:rPr>
        <w:t>de</w:t>
      </w:r>
      <w:r w:rsidR="00514958" w:rsidRPr="0026024B">
        <w:rPr>
          <w:rFonts w:ascii="Arial" w:hAnsi="Arial" w:cs="Arial"/>
          <w:sz w:val="22"/>
          <w:szCs w:val="22"/>
        </w:rPr>
        <w:t xml:space="preserve">l tasso di primo-nuzialità totale, una misura trasversale attraverso la quale </w:t>
      </w:r>
      <w:r w:rsidR="00FE47E8" w:rsidRPr="0026024B">
        <w:rPr>
          <w:rFonts w:ascii="Arial" w:hAnsi="Arial" w:cs="Arial"/>
          <w:sz w:val="22"/>
          <w:szCs w:val="22"/>
        </w:rPr>
        <w:t xml:space="preserve">si può </w:t>
      </w:r>
      <w:r w:rsidR="00514958" w:rsidRPr="0026024B">
        <w:rPr>
          <w:rFonts w:ascii="Arial" w:hAnsi="Arial" w:cs="Arial"/>
          <w:sz w:val="22"/>
          <w:szCs w:val="22"/>
        </w:rPr>
        <w:t>valutare quanti primi-matrimoni s</w:t>
      </w:r>
      <w:r w:rsidR="00A46F64" w:rsidRPr="0026024B">
        <w:rPr>
          <w:rFonts w:ascii="Arial" w:hAnsi="Arial" w:cs="Arial"/>
          <w:sz w:val="22"/>
          <w:szCs w:val="22"/>
        </w:rPr>
        <w:t xml:space="preserve">iano </w:t>
      </w:r>
      <w:r w:rsidR="00514958" w:rsidRPr="0026024B">
        <w:rPr>
          <w:rFonts w:ascii="Arial" w:hAnsi="Arial" w:cs="Arial"/>
          <w:sz w:val="22"/>
          <w:szCs w:val="22"/>
        </w:rPr>
        <w:t xml:space="preserve">attesi da una </w:t>
      </w:r>
      <w:r w:rsidR="00F3292A" w:rsidRPr="0026024B">
        <w:rPr>
          <w:rFonts w:ascii="Arial" w:hAnsi="Arial" w:cs="Arial"/>
          <w:sz w:val="22"/>
          <w:szCs w:val="22"/>
        </w:rPr>
        <w:t xml:space="preserve">ipotetica </w:t>
      </w:r>
      <w:r w:rsidR="00514958" w:rsidRPr="0026024B">
        <w:rPr>
          <w:rFonts w:ascii="Arial" w:hAnsi="Arial" w:cs="Arial"/>
          <w:sz w:val="22"/>
          <w:szCs w:val="22"/>
        </w:rPr>
        <w:t>generazione di 1</w:t>
      </w:r>
      <w:r w:rsidR="00A82978" w:rsidRPr="0026024B">
        <w:rPr>
          <w:rFonts w:ascii="Arial" w:hAnsi="Arial" w:cs="Arial"/>
          <w:sz w:val="22"/>
          <w:szCs w:val="22"/>
        </w:rPr>
        <w:t>.</w:t>
      </w:r>
      <w:r w:rsidR="00514958" w:rsidRPr="0026024B">
        <w:rPr>
          <w:rFonts w:ascii="Arial" w:hAnsi="Arial" w:cs="Arial"/>
          <w:sz w:val="22"/>
          <w:szCs w:val="22"/>
        </w:rPr>
        <w:t>000 ind</w:t>
      </w:r>
      <w:r w:rsidR="00F3292A" w:rsidRPr="0026024B">
        <w:rPr>
          <w:rFonts w:ascii="Arial" w:hAnsi="Arial" w:cs="Arial"/>
          <w:sz w:val="22"/>
          <w:szCs w:val="22"/>
        </w:rPr>
        <w:t>i</w:t>
      </w:r>
      <w:r w:rsidR="00514958" w:rsidRPr="0026024B">
        <w:rPr>
          <w:rFonts w:ascii="Arial" w:hAnsi="Arial" w:cs="Arial"/>
          <w:sz w:val="22"/>
          <w:szCs w:val="22"/>
        </w:rPr>
        <w:t xml:space="preserve">vidui, </w:t>
      </w:r>
      <w:r w:rsidR="00EE1FF4">
        <w:rPr>
          <w:rFonts w:ascii="Arial" w:hAnsi="Arial" w:cs="Arial"/>
          <w:sz w:val="22"/>
          <w:szCs w:val="22"/>
        </w:rPr>
        <w:t xml:space="preserve">consente di </w:t>
      </w:r>
      <w:r w:rsidR="00F3292A" w:rsidRPr="0026024B">
        <w:rPr>
          <w:rFonts w:ascii="Arial" w:hAnsi="Arial" w:cs="Arial"/>
          <w:sz w:val="22"/>
          <w:szCs w:val="22"/>
        </w:rPr>
        <w:t>far luce su</w:t>
      </w:r>
      <w:r w:rsidR="00A46F64" w:rsidRPr="0026024B">
        <w:rPr>
          <w:rFonts w:ascii="Arial" w:hAnsi="Arial" w:cs="Arial"/>
          <w:sz w:val="22"/>
          <w:szCs w:val="22"/>
        </w:rPr>
        <w:t>i</w:t>
      </w:r>
      <w:r w:rsidR="00F3292A" w:rsidRPr="0026024B">
        <w:rPr>
          <w:rFonts w:ascii="Arial" w:hAnsi="Arial" w:cs="Arial"/>
          <w:sz w:val="22"/>
          <w:szCs w:val="22"/>
        </w:rPr>
        <w:t xml:space="preserve"> process</w:t>
      </w:r>
      <w:r w:rsidR="00A46F64" w:rsidRPr="0026024B">
        <w:rPr>
          <w:rFonts w:ascii="Arial" w:hAnsi="Arial" w:cs="Arial"/>
          <w:sz w:val="22"/>
          <w:szCs w:val="22"/>
        </w:rPr>
        <w:t>i</w:t>
      </w:r>
      <w:r w:rsidR="00F3292A" w:rsidRPr="0026024B">
        <w:rPr>
          <w:rFonts w:ascii="Arial" w:hAnsi="Arial" w:cs="Arial"/>
          <w:sz w:val="22"/>
          <w:szCs w:val="22"/>
        </w:rPr>
        <w:t xml:space="preserve"> di formazione delle co</w:t>
      </w:r>
      <w:r w:rsidR="00A46F64" w:rsidRPr="0026024B">
        <w:rPr>
          <w:rFonts w:ascii="Arial" w:hAnsi="Arial" w:cs="Arial"/>
          <w:sz w:val="22"/>
          <w:szCs w:val="22"/>
        </w:rPr>
        <w:t>ppie, di quelle giovani in particolare.</w:t>
      </w:r>
      <w:r w:rsidR="00FE47E8" w:rsidRPr="0026024B">
        <w:rPr>
          <w:rFonts w:ascii="Arial" w:hAnsi="Arial" w:cs="Arial"/>
          <w:sz w:val="22"/>
          <w:szCs w:val="22"/>
        </w:rPr>
        <w:t xml:space="preserve"> </w:t>
      </w:r>
      <w:r w:rsidR="009E5454" w:rsidRPr="0026024B">
        <w:rPr>
          <w:rFonts w:ascii="Arial" w:hAnsi="Arial" w:cs="Arial"/>
          <w:sz w:val="22"/>
          <w:szCs w:val="22"/>
        </w:rPr>
        <w:t>Tale indice segnala, in base a quanto registrato nel 202</w:t>
      </w:r>
      <w:r w:rsidR="0026024B" w:rsidRPr="0026024B">
        <w:rPr>
          <w:rFonts w:ascii="Arial" w:hAnsi="Arial" w:cs="Arial"/>
          <w:sz w:val="22"/>
          <w:szCs w:val="22"/>
        </w:rPr>
        <w:t>2</w:t>
      </w:r>
      <w:r w:rsidR="009E5454" w:rsidRPr="0026024B">
        <w:rPr>
          <w:rFonts w:ascii="Arial" w:hAnsi="Arial" w:cs="Arial"/>
          <w:sz w:val="22"/>
          <w:szCs w:val="22"/>
        </w:rPr>
        <w:t xml:space="preserve">, un’intensità di </w:t>
      </w:r>
      <w:r w:rsidR="00E04BFF" w:rsidRPr="0026024B">
        <w:rPr>
          <w:rFonts w:ascii="Arial" w:hAnsi="Arial" w:cs="Arial"/>
          <w:sz w:val="22"/>
          <w:szCs w:val="22"/>
        </w:rPr>
        <w:t>4</w:t>
      </w:r>
      <w:r w:rsidR="0026024B" w:rsidRPr="0026024B">
        <w:rPr>
          <w:rFonts w:ascii="Arial" w:hAnsi="Arial" w:cs="Arial"/>
          <w:sz w:val="22"/>
          <w:szCs w:val="22"/>
        </w:rPr>
        <w:t xml:space="preserve">21 </w:t>
      </w:r>
      <w:r w:rsidR="009E5454" w:rsidRPr="0026024B">
        <w:rPr>
          <w:rFonts w:ascii="Arial" w:hAnsi="Arial" w:cs="Arial"/>
          <w:sz w:val="22"/>
          <w:szCs w:val="22"/>
        </w:rPr>
        <w:t xml:space="preserve">primi matrimoni per 1.000 uomini e </w:t>
      </w:r>
      <w:r w:rsidR="0026024B" w:rsidRPr="0026024B">
        <w:rPr>
          <w:rFonts w:ascii="Arial" w:hAnsi="Arial" w:cs="Arial"/>
          <w:sz w:val="22"/>
          <w:szCs w:val="22"/>
        </w:rPr>
        <w:t>471</w:t>
      </w:r>
      <w:r w:rsidR="009E5454" w:rsidRPr="0026024B">
        <w:rPr>
          <w:rFonts w:ascii="Arial" w:hAnsi="Arial" w:cs="Arial"/>
          <w:sz w:val="22"/>
          <w:szCs w:val="22"/>
        </w:rPr>
        <w:t xml:space="preserve"> per 1.000 donne; valori </w:t>
      </w:r>
      <w:r w:rsidR="0026024B" w:rsidRPr="0026024B">
        <w:rPr>
          <w:rFonts w:ascii="Arial" w:hAnsi="Arial" w:cs="Arial"/>
          <w:sz w:val="22"/>
          <w:szCs w:val="22"/>
        </w:rPr>
        <w:t xml:space="preserve">in aumento </w:t>
      </w:r>
      <w:r w:rsidR="00E04BFF" w:rsidRPr="0026024B">
        <w:rPr>
          <w:rFonts w:ascii="Arial" w:hAnsi="Arial" w:cs="Arial"/>
          <w:sz w:val="22"/>
          <w:szCs w:val="22"/>
        </w:rPr>
        <w:t xml:space="preserve">rispetto </w:t>
      </w:r>
      <w:r w:rsidR="0026024B" w:rsidRPr="0026024B">
        <w:rPr>
          <w:rFonts w:ascii="Arial" w:hAnsi="Arial" w:cs="Arial"/>
          <w:sz w:val="22"/>
          <w:szCs w:val="22"/>
        </w:rPr>
        <w:t xml:space="preserve">sia all’anno precedente </w:t>
      </w:r>
      <w:r w:rsidR="00B518CD" w:rsidRPr="0026024B">
        <w:rPr>
          <w:rFonts w:ascii="Arial" w:hAnsi="Arial" w:cs="Arial"/>
          <w:sz w:val="22"/>
          <w:szCs w:val="22"/>
        </w:rPr>
        <w:t>(</w:t>
      </w:r>
      <w:r w:rsidR="00B518CD">
        <w:rPr>
          <w:rFonts w:ascii="Arial" w:hAnsi="Arial" w:cs="Arial"/>
          <w:sz w:val="22"/>
          <w:szCs w:val="22"/>
        </w:rPr>
        <w:t xml:space="preserve">0,9 e 1,4 punti percentuali in più </w:t>
      </w:r>
      <w:r w:rsidR="00B518CD" w:rsidRPr="0026024B">
        <w:rPr>
          <w:rFonts w:ascii="Arial" w:hAnsi="Arial" w:cs="Arial"/>
          <w:sz w:val="22"/>
          <w:szCs w:val="22"/>
        </w:rPr>
        <w:t>rispettivamente per</w:t>
      </w:r>
      <w:r w:rsidR="00B518CD">
        <w:rPr>
          <w:rFonts w:ascii="Arial" w:hAnsi="Arial" w:cs="Arial"/>
          <w:sz w:val="22"/>
          <w:szCs w:val="22"/>
        </w:rPr>
        <w:t xml:space="preserve"> maschi e femmine) sia </w:t>
      </w:r>
      <w:r w:rsidR="00B518CD" w:rsidRPr="0026024B">
        <w:rPr>
          <w:rFonts w:ascii="Arial" w:hAnsi="Arial" w:cs="Arial"/>
          <w:sz w:val="22"/>
          <w:szCs w:val="22"/>
        </w:rPr>
        <w:t>al 2019 (+</w:t>
      </w:r>
      <w:r w:rsidR="00B518CD">
        <w:rPr>
          <w:rFonts w:ascii="Arial" w:hAnsi="Arial" w:cs="Arial"/>
          <w:sz w:val="22"/>
          <w:szCs w:val="22"/>
        </w:rPr>
        <w:t>1,1</w:t>
      </w:r>
      <w:r w:rsidR="00B518CD" w:rsidRPr="0026024B">
        <w:rPr>
          <w:rFonts w:ascii="Arial" w:hAnsi="Arial" w:cs="Arial"/>
          <w:sz w:val="22"/>
          <w:szCs w:val="22"/>
        </w:rPr>
        <w:t>% e +</w:t>
      </w:r>
      <w:r w:rsidR="00B518CD">
        <w:rPr>
          <w:rFonts w:ascii="Arial" w:hAnsi="Arial" w:cs="Arial"/>
          <w:sz w:val="22"/>
          <w:szCs w:val="22"/>
        </w:rPr>
        <w:t>1,7</w:t>
      </w:r>
      <w:r w:rsidR="00B518CD" w:rsidRPr="0026024B">
        <w:rPr>
          <w:rFonts w:ascii="Arial" w:hAnsi="Arial" w:cs="Arial"/>
          <w:sz w:val="22"/>
          <w:szCs w:val="22"/>
        </w:rPr>
        <w:t>%)</w:t>
      </w:r>
      <w:r w:rsidR="00B1483B">
        <w:rPr>
          <w:rFonts w:ascii="Arial" w:hAnsi="Arial" w:cs="Arial"/>
          <w:sz w:val="22"/>
          <w:szCs w:val="22"/>
        </w:rPr>
        <w:t>.</w:t>
      </w:r>
    </w:p>
    <w:p w14:paraId="7ED9BDFF" w14:textId="77777777" w:rsidR="00B1483B" w:rsidRPr="0026024B" w:rsidRDefault="00B1483B" w:rsidP="001928F4">
      <w:pPr>
        <w:jc w:val="both"/>
        <w:outlineLvl w:val="0"/>
        <w:rPr>
          <w:rFonts w:ascii="Arial" w:hAnsi="Arial" w:cs="Arial"/>
          <w:sz w:val="22"/>
          <w:szCs w:val="22"/>
        </w:rPr>
      </w:pPr>
    </w:p>
    <w:p w14:paraId="11A1ECFE" w14:textId="4D2DF3DD" w:rsidR="00BF6EDC" w:rsidRDefault="00E81960" w:rsidP="0009446F">
      <w:pPr>
        <w:autoSpaceDE w:val="0"/>
        <w:autoSpaceDN w:val="0"/>
        <w:adjustRightInd w:val="0"/>
        <w:spacing w:after="140"/>
        <w:rPr>
          <w:rFonts w:ascii="Arial Narrow" w:hAnsi="Arial Narrow"/>
          <w:color w:val="1F497D"/>
          <w:sz w:val="22"/>
          <w:szCs w:val="22"/>
        </w:rPr>
      </w:pPr>
      <w:r w:rsidRPr="00E81960">
        <w:rPr>
          <w:rFonts w:ascii="Arial Black" w:hAnsi="Arial Black" w:cs="Arial"/>
          <w:iCs/>
          <w:noProof/>
          <w:color w:val="1F497D" w:themeColor="text2"/>
          <w:sz w:val="22"/>
          <w:szCs w:val="22"/>
        </w:rPr>
        <w:t xml:space="preserve">FIGURA </w:t>
      </w:r>
      <w:r w:rsidR="00C74129">
        <w:rPr>
          <w:rFonts w:ascii="Arial Black" w:hAnsi="Arial Black" w:cs="Arial"/>
          <w:iCs/>
          <w:noProof/>
          <w:color w:val="1F497D" w:themeColor="text2"/>
          <w:sz w:val="22"/>
          <w:szCs w:val="22"/>
        </w:rPr>
        <w:t>3</w:t>
      </w:r>
      <w:r w:rsidRPr="00E81960">
        <w:rPr>
          <w:rFonts w:ascii="Arial Black" w:hAnsi="Arial Black" w:cs="Arial"/>
          <w:iCs/>
          <w:noProof/>
          <w:color w:val="1F497D" w:themeColor="text2"/>
          <w:sz w:val="22"/>
          <w:szCs w:val="22"/>
        </w:rPr>
        <w:t>.</w:t>
      </w:r>
      <w:r w:rsidRPr="00E81960">
        <w:rPr>
          <w:rFonts w:ascii="Arial Narrow" w:hAnsi="Arial Narrow" w:cs="Arial"/>
          <w:b/>
          <w:iCs/>
          <w:noProof/>
          <w:color w:val="1F497D" w:themeColor="text2"/>
          <w:sz w:val="22"/>
          <w:szCs w:val="22"/>
        </w:rPr>
        <w:t xml:space="preserve"> </w:t>
      </w:r>
      <w:r w:rsidR="000C62EC">
        <w:rPr>
          <w:rFonts w:ascii="Arial Narrow" w:hAnsi="Arial Narrow"/>
          <w:b/>
          <w:bCs/>
          <w:color w:val="1F497D"/>
          <w:sz w:val="22"/>
          <w:szCs w:val="22"/>
        </w:rPr>
        <w:t>TASSI DI PRIMO-NUZIALITÀ</w:t>
      </w:r>
      <w:r w:rsidR="00706C30">
        <w:rPr>
          <w:rFonts w:ascii="Arial Narrow" w:hAnsi="Arial Narrow"/>
          <w:b/>
          <w:bCs/>
          <w:color w:val="1F497D"/>
          <w:sz w:val="22"/>
          <w:szCs w:val="22"/>
        </w:rPr>
        <w:t xml:space="preserve"> </w:t>
      </w:r>
      <w:r w:rsidRPr="00E81960">
        <w:rPr>
          <w:rFonts w:ascii="Arial Narrow" w:hAnsi="Arial Narrow"/>
          <w:b/>
          <w:bCs/>
          <w:color w:val="1F497D"/>
          <w:sz w:val="22"/>
          <w:szCs w:val="22"/>
        </w:rPr>
        <w:t>PER</w:t>
      </w:r>
      <w:r w:rsidR="00E9254D">
        <w:rPr>
          <w:rFonts w:ascii="Arial Narrow" w:hAnsi="Arial Narrow"/>
          <w:b/>
          <w:bCs/>
          <w:color w:val="1F497D"/>
          <w:sz w:val="22"/>
          <w:szCs w:val="22"/>
        </w:rPr>
        <w:t xml:space="preserve"> </w:t>
      </w:r>
      <w:r w:rsidR="00C74129">
        <w:rPr>
          <w:rFonts w:ascii="Arial Narrow" w:hAnsi="Arial Narrow"/>
          <w:b/>
          <w:bCs/>
          <w:color w:val="1F497D"/>
          <w:sz w:val="22"/>
          <w:szCs w:val="22"/>
        </w:rPr>
        <w:t>SESSO</w:t>
      </w:r>
      <w:r w:rsidR="00135424">
        <w:rPr>
          <w:rFonts w:ascii="Arial Narrow" w:hAnsi="Arial Narrow"/>
          <w:b/>
          <w:bCs/>
          <w:color w:val="1F497D"/>
          <w:sz w:val="22"/>
          <w:szCs w:val="22"/>
        </w:rPr>
        <w:t xml:space="preserve"> </w:t>
      </w:r>
      <w:r w:rsidR="00706C30">
        <w:rPr>
          <w:rFonts w:ascii="Arial Narrow" w:hAnsi="Arial Narrow"/>
          <w:b/>
          <w:bCs/>
          <w:color w:val="1F497D"/>
          <w:sz w:val="22"/>
          <w:szCs w:val="22"/>
        </w:rPr>
        <w:t>ED</w:t>
      </w:r>
      <w:r w:rsidRPr="00E81960">
        <w:rPr>
          <w:rFonts w:ascii="Arial Narrow" w:hAnsi="Arial Narrow"/>
          <w:b/>
          <w:bCs/>
          <w:color w:val="1F497D"/>
          <w:sz w:val="22"/>
          <w:szCs w:val="22"/>
        </w:rPr>
        <w:t xml:space="preserve"> ET</w:t>
      </w:r>
      <w:r w:rsidR="000C62EC">
        <w:rPr>
          <w:rFonts w:ascii="Arial Narrow" w:hAnsi="Arial Narrow"/>
          <w:b/>
          <w:bCs/>
          <w:color w:val="1F497D"/>
          <w:sz w:val="22"/>
          <w:szCs w:val="22"/>
        </w:rPr>
        <w:t>À</w:t>
      </w:r>
      <w:r w:rsidR="00404DB4">
        <w:rPr>
          <w:rFonts w:ascii="Arial Narrow" w:hAnsi="Arial Narrow"/>
          <w:b/>
          <w:bCs/>
          <w:color w:val="1F497D"/>
          <w:sz w:val="22"/>
          <w:szCs w:val="22"/>
        </w:rPr>
        <w:t xml:space="preserve">. </w:t>
      </w:r>
      <w:r w:rsidRPr="00E81960">
        <w:rPr>
          <w:rFonts w:ascii="Arial Narrow" w:hAnsi="Arial Narrow"/>
          <w:color w:val="1F497D"/>
          <w:sz w:val="22"/>
          <w:szCs w:val="22"/>
        </w:rPr>
        <w:t xml:space="preserve">Anni </w:t>
      </w:r>
      <w:r w:rsidR="00567027">
        <w:rPr>
          <w:rFonts w:ascii="Arial Narrow" w:hAnsi="Arial Narrow"/>
          <w:color w:val="1F497D"/>
          <w:sz w:val="22"/>
          <w:szCs w:val="22"/>
        </w:rPr>
        <w:t>2008</w:t>
      </w:r>
      <w:r w:rsidR="00E83799">
        <w:rPr>
          <w:rFonts w:ascii="Arial Narrow" w:hAnsi="Arial Narrow"/>
          <w:color w:val="1F497D"/>
          <w:sz w:val="22"/>
          <w:szCs w:val="22"/>
        </w:rPr>
        <w:t xml:space="preserve">, 2014, </w:t>
      </w:r>
      <w:r w:rsidRPr="00E81960">
        <w:rPr>
          <w:rFonts w:ascii="Arial Narrow" w:hAnsi="Arial Narrow"/>
          <w:color w:val="1F497D"/>
          <w:sz w:val="22"/>
          <w:szCs w:val="22"/>
        </w:rPr>
        <w:t>2019</w:t>
      </w:r>
      <w:r w:rsidR="00E83799">
        <w:rPr>
          <w:rFonts w:ascii="Arial Narrow" w:hAnsi="Arial Narrow"/>
          <w:color w:val="1F497D"/>
          <w:sz w:val="22"/>
          <w:szCs w:val="22"/>
        </w:rPr>
        <w:t xml:space="preserve">, </w:t>
      </w:r>
      <w:r w:rsidR="009A4301">
        <w:rPr>
          <w:rFonts w:ascii="Arial Narrow" w:hAnsi="Arial Narrow"/>
          <w:color w:val="1F497D"/>
          <w:sz w:val="22"/>
          <w:szCs w:val="22"/>
        </w:rPr>
        <w:t>2020</w:t>
      </w:r>
      <w:r w:rsidR="0026024B">
        <w:rPr>
          <w:rFonts w:ascii="Arial Narrow" w:hAnsi="Arial Narrow"/>
          <w:color w:val="1F497D"/>
          <w:sz w:val="22"/>
          <w:szCs w:val="22"/>
        </w:rPr>
        <w:t xml:space="preserve">, </w:t>
      </w:r>
      <w:r w:rsidR="00E83799">
        <w:rPr>
          <w:rFonts w:ascii="Arial Narrow" w:hAnsi="Arial Narrow"/>
          <w:color w:val="1F497D"/>
          <w:sz w:val="22"/>
          <w:szCs w:val="22"/>
        </w:rPr>
        <w:t>2021</w:t>
      </w:r>
      <w:r w:rsidR="0026024B">
        <w:rPr>
          <w:rFonts w:ascii="Arial Narrow" w:hAnsi="Arial Narrow"/>
          <w:color w:val="1F497D"/>
          <w:sz w:val="22"/>
          <w:szCs w:val="22"/>
        </w:rPr>
        <w:t xml:space="preserve"> e 2022</w:t>
      </w:r>
      <w:r w:rsidR="000156A7">
        <w:rPr>
          <w:rFonts w:ascii="Arial Narrow" w:hAnsi="Arial Narrow"/>
          <w:color w:val="1F497D"/>
          <w:sz w:val="22"/>
          <w:szCs w:val="22"/>
        </w:rPr>
        <w:t xml:space="preserve">, valori per </w:t>
      </w:r>
      <w:r w:rsidR="007D173B">
        <w:rPr>
          <w:rFonts w:ascii="Arial Narrow" w:hAnsi="Arial Narrow"/>
          <w:color w:val="1F497D"/>
          <w:sz w:val="22"/>
          <w:szCs w:val="22"/>
        </w:rPr>
        <w:t>1.000</w:t>
      </w:r>
      <w:r w:rsidR="00706C30">
        <w:rPr>
          <w:rFonts w:ascii="Arial Narrow" w:hAnsi="Arial Narrow"/>
          <w:color w:val="1F497D"/>
          <w:sz w:val="22"/>
          <w:szCs w:val="22"/>
        </w:rPr>
        <w:t xml:space="preserve"> uomini e per </w:t>
      </w:r>
      <w:r w:rsidR="00B4079A">
        <w:rPr>
          <w:rFonts w:ascii="Arial Narrow" w:hAnsi="Arial Narrow"/>
          <w:color w:val="1F497D"/>
          <w:sz w:val="22"/>
          <w:szCs w:val="22"/>
        </w:rPr>
        <w:t>1.000</w:t>
      </w:r>
      <w:r w:rsidR="00706C30">
        <w:rPr>
          <w:rFonts w:ascii="Arial Narrow" w:hAnsi="Arial Narrow"/>
          <w:color w:val="1F497D"/>
          <w:sz w:val="22"/>
          <w:szCs w:val="22"/>
        </w:rPr>
        <w:t xml:space="preserve"> </w:t>
      </w:r>
      <w:r w:rsidRPr="00E81960">
        <w:rPr>
          <w:rFonts w:ascii="Arial Narrow" w:hAnsi="Arial Narrow"/>
          <w:color w:val="1F497D"/>
          <w:sz w:val="22"/>
          <w:szCs w:val="22"/>
        </w:rPr>
        <w:t>donne</w:t>
      </w:r>
      <w:r w:rsidR="00A55FC7">
        <w:rPr>
          <w:rFonts w:ascii="Arial Narrow" w:hAnsi="Arial Narrow"/>
          <w:color w:val="1F497D"/>
          <w:sz w:val="22"/>
          <w:szCs w:val="22"/>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4F6009" w14:paraId="0BED8D14" w14:textId="77777777" w:rsidTr="004F6009">
        <w:tc>
          <w:tcPr>
            <w:tcW w:w="4956" w:type="dxa"/>
          </w:tcPr>
          <w:p w14:paraId="743D103F" w14:textId="0E283BAB" w:rsidR="004F6009" w:rsidRDefault="00675CF9" w:rsidP="00FB204E">
            <w:pPr>
              <w:autoSpaceDE w:val="0"/>
              <w:autoSpaceDN w:val="0"/>
              <w:adjustRightInd w:val="0"/>
              <w:rPr>
                <w:rFonts w:ascii="Arial Narrow" w:hAnsi="Arial Narrow"/>
                <w:color w:val="1F497D"/>
                <w:sz w:val="22"/>
                <w:szCs w:val="22"/>
              </w:rPr>
            </w:pPr>
            <w:r>
              <w:rPr>
                <w:rFonts w:ascii="Arial Narrow" w:hAnsi="Arial Narrow"/>
                <w:color w:val="1F497D"/>
                <w:sz w:val="22"/>
                <w:szCs w:val="22"/>
              </w:rPr>
              <w:fldChar w:fldCharType="begin"/>
            </w:r>
            <w:r>
              <w:rPr>
                <w:rFonts w:ascii="Arial Narrow" w:hAnsi="Arial Narrow"/>
                <w:color w:val="1F497D"/>
                <w:sz w:val="22"/>
                <w:szCs w:val="22"/>
              </w:rPr>
              <w:instrText xml:space="preserve"> LINK Excel.Sheet.12 "C:\\Users\\UTENTE\\Downloads\\Tavole e grafici 2022_13_12_23 (1).xlsx!3![Tavole e grafici 2022_13_12_23 (1).xlsx]3 Grafico 1" "" \a \p </w:instrText>
            </w:r>
            <w:r>
              <w:rPr>
                <w:rFonts w:ascii="Arial Narrow" w:hAnsi="Arial Narrow"/>
                <w:color w:val="1F497D"/>
                <w:sz w:val="22"/>
                <w:szCs w:val="22"/>
              </w:rPr>
              <w:fldChar w:fldCharType="separate"/>
            </w:r>
            <w:r>
              <w:rPr>
                <w:rFonts w:ascii="Arial Narrow" w:hAnsi="Arial Narrow"/>
                <w:color w:val="1F497D"/>
                <w:sz w:val="22"/>
                <w:szCs w:val="22"/>
              </w:rPr>
              <w:object w:dxaOrig="4815" w:dyaOrig="3661" w14:anchorId="06C8CFB0">
                <v:shape id="_x0000_i1026" type="#_x0000_t75" style="width:240pt;height:183pt" o:ole="">
                  <v:imagedata r:id="rId14" o:title=""/>
                </v:shape>
              </w:object>
            </w:r>
            <w:r>
              <w:rPr>
                <w:rFonts w:ascii="Arial Narrow" w:hAnsi="Arial Narrow"/>
                <w:color w:val="1F497D"/>
                <w:sz w:val="22"/>
                <w:szCs w:val="22"/>
              </w:rPr>
              <w:fldChar w:fldCharType="end"/>
            </w:r>
          </w:p>
        </w:tc>
        <w:tc>
          <w:tcPr>
            <w:tcW w:w="4956" w:type="dxa"/>
          </w:tcPr>
          <w:p w14:paraId="65A5279D" w14:textId="7204672A" w:rsidR="004F6009" w:rsidRDefault="00675CF9" w:rsidP="00FB204E">
            <w:pPr>
              <w:autoSpaceDE w:val="0"/>
              <w:autoSpaceDN w:val="0"/>
              <w:adjustRightInd w:val="0"/>
              <w:rPr>
                <w:rFonts w:ascii="Arial Narrow" w:hAnsi="Arial Narrow"/>
                <w:color w:val="1F497D"/>
                <w:sz w:val="22"/>
                <w:szCs w:val="22"/>
              </w:rPr>
            </w:pPr>
            <w:r>
              <w:rPr>
                <w:rFonts w:ascii="Arial Narrow" w:hAnsi="Arial Narrow"/>
                <w:color w:val="1F497D"/>
                <w:sz w:val="22"/>
                <w:szCs w:val="22"/>
              </w:rPr>
              <w:fldChar w:fldCharType="begin"/>
            </w:r>
            <w:r>
              <w:rPr>
                <w:rFonts w:ascii="Arial Narrow" w:hAnsi="Arial Narrow"/>
                <w:color w:val="1F497D"/>
                <w:sz w:val="22"/>
                <w:szCs w:val="22"/>
              </w:rPr>
              <w:instrText xml:space="preserve"> LINK Excel.Sheet.12 "C:\\Users\\UTENTE\\Downloads\\Tavole e grafici 2022_13_12_23 (1).xlsx!3![Tavole e grafici 2022_13_12_23 (1).xlsx]3 Grafico 3" "" \a \p </w:instrText>
            </w:r>
            <w:r>
              <w:rPr>
                <w:rFonts w:ascii="Arial Narrow" w:hAnsi="Arial Narrow"/>
                <w:color w:val="1F497D"/>
                <w:sz w:val="22"/>
                <w:szCs w:val="22"/>
              </w:rPr>
              <w:fldChar w:fldCharType="separate"/>
            </w:r>
            <w:r>
              <w:rPr>
                <w:rFonts w:ascii="Arial Narrow" w:hAnsi="Arial Narrow"/>
                <w:color w:val="1F497D"/>
                <w:sz w:val="22"/>
                <w:szCs w:val="22"/>
              </w:rPr>
              <w:object w:dxaOrig="4815" w:dyaOrig="3661" w14:anchorId="7A907DBE">
                <v:shape id="_x0000_i1027" type="#_x0000_t75" style="width:240pt;height:183pt" o:ole="">
                  <v:imagedata r:id="rId15" o:title=""/>
                </v:shape>
              </w:object>
            </w:r>
            <w:r>
              <w:rPr>
                <w:rFonts w:ascii="Arial Narrow" w:hAnsi="Arial Narrow"/>
                <w:color w:val="1F497D"/>
                <w:sz w:val="22"/>
                <w:szCs w:val="22"/>
              </w:rPr>
              <w:fldChar w:fldCharType="end"/>
            </w:r>
          </w:p>
        </w:tc>
      </w:tr>
    </w:tbl>
    <w:p w14:paraId="605E1E1B" w14:textId="77777777" w:rsidR="006E1FE0" w:rsidRDefault="006E1FE0" w:rsidP="00DE19BF">
      <w:pPr>
        <w:spacing w:after="120"/>
        <w:jc w:val="both"/>
        <w:outlineLvl w:val="0"/>
        <w:rPr>
          <w:rFonts w:ascii="Arial" w:hAnsi="Arial" w:cs="Arial"/>
          <w:sz w:val="22"/>
          <w:szCs w:val="22"/>
        </w:rPr>
      </w:pPr>
    </w:p>
    <w:p w14:paraId="365D0B39" w14:textId="2A55344D" w:rsidR="00DE19BF" w:rsidRDefault="00DF4560" w:rsidP="00DE19BF">
      <w:pPr>
        <w:spacing w:after="120"/>
        <w:jc w:val="both"/>
        <w:outlineLvl w:val="0"/>
        <w:rPr>
          <w:rFonts w:ascii="Arial" w:hAnsi="Arial" w:cs="Arial"/>
          <w:sz w:val="22"/>
          <w:szCs w:val="22"/>
        </w:rPr>
      </w:pPr>
      <w:r>
        <w:rPr>
          <w:rFonts w:ascii="Arial" w:hAnsi="Arial" w:cs="Arial"/>
          <w:sz w:val="22"/>
          <w:szCs w:val="22"/>
        </w:rPr>
        <w:t xml:space="preserve">Nonostante </w:t>
      </w:r>
      <w:r w:rsidR="006E1FE0">
        <w:rPr>
          <w:rFonts w:ascii="Arial" w:hAnsi="Arial" w:cs="Arial"/>
          <w:sz w:val="22"/>
          <w:szCs w:val="22"/>
        </w:rPr>
        <w:t>gl</w:t>
      </w:r>
      <w:r w:rsidR="00AF7869">
        <w:rPr>
          <w:rFonts w:ascii="Arial" w:hAnsi="Arial" w:cs="Arial"/>
          <w:sz w:val="22"/>
          <w:szCs w:val="22"/>
        </w:rPr>
        <w:t xml:space="preserve">i incrementi dell’intensità </w:t>
      </w:r>
      <w:r w:rsidR="006E1FE0">
        <w:rPr>
          <w:rFonts w:ascii="Arial" w:hAnsi="Arial" w:cs="Arial"/>
          <w:sz w:val="22"/>
          <w:szCs w:val="22"/>
        </w:rPr>
        <w:t>dei primi matrimoni</w:t>
      </w:r>
      <w:r w:rsidR="00AF7869">
        <w:rPr>
          <w:rFonts w:ascii="Arial" w:hAnsi="Arial" w:cs="Arial"/>
          <w:sz w:val="22"/>
          <w:szCs w:val="22"/>
        </w:rPr>
        <w:t>, frutto più del</w:t>
      </w:r>
      <w:r>
        <w:rPr>
          <w:rFonts w:ascii="Arial" w:hAnsi="Arial" w:cs="Arial"/>
          <w:sz w:val="22"/>
          <w:szCs w:val="22"/>
        </w:rPr>
        <w:t xml:space="preserve"> recupero sul periodo pandemico</w:t>
      </w:r>
      <w:r w:rsidR="002D2DCF">
        <w:rPr>
          <w:rFonts w:ascii="Arial" w:hAnsi="Arial" w:cs="Arial"/>
          <w:sz w:val="22"/>
          <w:szCs w:val="22"/>
        </w:rPr>
        <w:t xml:space="preserve"> che di</w:t>
      </w:r>
      <w:r w:rsidR="00AF7869">
        <w:rPr>
          <w:rFonts w:ascii="Arial" w:hAnsi="Arial" w:cs="Arial"/>
          <w:sz w:val="22"/>
          <w:szCs w:val="22"/>
        </w:rPr>
        <w:t xml:space="preserve"> un</w:t>
      </w:r>
      <w:r>
        <w:rPr>
          <w:rFonts w:ascii="Arial" w:hAnsi="Arial" w:cs="Arial"/>
          <w:sz w:val="22"/>
          <w:szCs w:val="22"/>
        </w:rPr>
        <w:t>a</w:t>
      </w:r>
      <w:r w:rsidR="00AF7869">
        <w:rPr>
          <w:rFonts w:ascii="Arial" w:hAnsi="Arial" w:cs="Arial"/>
          <w:sz w:val="22"/>
          <w:szCs w:val="22"/>
        </w:rPr>
        <w:t xml:space="preserve"> reale </w:t>
      </w:r>
      <w:r>
        <w:rPr>
          <w:rFonts w:ascii="Arial" w:hAnsi="Arial" w:cs="Arial"/>
          <w:sz w:val="22"/>
          <w:szCs w:val="22"/>
        </w:rPr>
        <w:t xml:space="preserve">crescita delle intenzioni </w:t>
      </w:r>
      <w:r w:rsidR="00AF7869">
        <w:rPr>
          <w:rFonts w:ascii="Arial" w:hAnsi="Arial" w:cs="Arial"/>
          <w:sz w:val="22"/>
          <w:szCs w:val="22"/>
        </w:rPr>
        <w:t>nuzial</w:t>
      </w:r>
      <w:r>
        <w:rPr>
          <w:rFonts w:ascii="Arial" w:hAnsi="Arial" w:cs="Arial"/>
          <w:sz w:val="22"/>
          <w:szCs w:val="22"/>
        </w:rPr>
        <w:t>i</w:t>
      </w:r>
      <w:r w:rsidR="00AF7869">
        <w:rPr>
          <w:rFonts w:ascii="Arial" w:hAnsi="Arial" w:cs="Arial"/>
          <w:sz w:val="22"/>
          <w:szCs w:val="22"/>
        </w:rPr>
        <w:t xml:space="preserve">, </w:t>
      </w:r>
      <w:r w:rsidR="006E1FE0">
        <w:rPr>
          <w:rFonts w:ascii="Arial" w:hAnsi="Arial" w:cs="Arial"/>
          <w:sz w:val="22"/>
          <w:szCs w:val="22"/>
        </w:rPr>
        <w:t xml:space="preserve">la </w:t>
      </w:r>
      <w:r w:rsidR="00DE19BF" w:rsidRPr="0010528F">
        <w:rPr>
          <w:rFonts w:ascii="Arial" w:hAnsi="Arial" w:cs="Arial"/>
          <w:sz w:val="22"/>
          <w:szCs w:val="22"/>
        </w:rPr>
        <w:t xml:space="preserve">propensione a sposarsi </w:t>
      </w:r>
      <w:r w:rsidR="00B518CD" w:rsidRPr="0010528F">
        <w:rPr>
          <w:rFonts w:ascii="Arial" w:hAnsi="Arial" w:cs="Arial"/>
          <w:sz w:val="22"/>
          <w:szCs w:val="22"/>
        </w:rPr>
        <w:t>tra i più giovani</w:t>
      </w:r>
      <w:r w:rsidR="00B518CD">
        <w:rPr>
          <w:rFonts w:ascii="Arial" w:hAnsi="Arial" w:cs="Arial"/>
          <w:sz w:val="22"/>
          <w:szCs w:val="22"/>
        </w:rPr>
        <w:t xml:space="preserve"> </w:t>
      </w:r>
      <w:r w:rsidR="006E1FE0" w:rsidRPr="00486BEA">
        <w:rPr>
          <w:rFonts w:ascii="Arial" w:hAnsi="Arial" w:cs="Arial"/>
          <w:sz w:val="22"/>
          <w:szCs w:val="22"/>
        </w:rPr>
        <w:t xml:space="preserve">tende a diminuire </w:t>
      </w:r>
      <w:r w:rsidR="00B518CD" w:rsidRPr="00486BEA">
        <w:rPr>
          <w:rFonts w:ascii="Arial" w:hAnsi="Arial" w:cs="Arial"/>
          <w:sz w:val="22"/>
          <w:szCs w:val="22"/>
        </w:rPr>
        <w:t>e scende</w:t>
      </w:r>
      <w:r w:rsidR="001928F4" w:rsidRPr="00486BEA">
        <w:rPr>
          <w:rFonts w:ascii="Arial" w:hAnsi="Arial" w:cs="Arial"/>
          <w:sz w:val="22"/>
          <w:szCs w:val="22"/>
        </w:rPr>
        <w:t>,</w:t>
      </w:r>
      <w:r w:rsidR="00B518CD" w:rsidRPr="00486BEA">
        <w:rPr>
          <w:rFonts w:ascii="Arial" w:hAnsi="Arial" w:cs="Arial"/>
          <w:sz w:val="22"/>
          <w:szCs w:val="22"/>
        </w:rPr>
        <w:t xml:space="preserve"> </w:t>
      </w:r>
      <w:r w:rsidR="001928F4" w:rsidRPr="00486BEA">
        <w:rPr>
          <w:rFonts w:ascii="Arial" w:hAnsi="Arial" w:cs="Arial"/>
          <w:sz w:val="22"/>
          <w:szCs w:val="22"/>
        </w:rPr>
        <w:t xml:space="preserve">rispetto al 2021, </w:t>
      </w:r>
      <w:r w:rsidR="00B518CD" w:rsidRPr="00486BEA">
        <w:rPr>
          <w:rFonts w:ascii="Arial" w:hAnsi="Arial" w:cs="Arial"/>
          <w:sz w:val="22"/>
          <w:szCs w:val="22"/>
        </w:rPr>
        <w:t>di 0,3 e di 0,6 punti percentuali</w:t>
      </w:r>
      <w:r w:rsidR="00A41BF4" w:rsidRPr="00486BEA">
        <w:rPr>
          <w:rFonts w:ascii="Arial" w:hAnsi="Arial" w:cs="Arial"/>
          <w:sz w:val="22"/>
          <w:szCs w:val="22"/>
        </w:rPr>
        <w:t xml:space="preserve"> </w:t>
      </w:r>
      <w:r w:rsidR="00B518CD" w:rsidRPr="00486BEA">
        <w:rPr>
          <w:rFonts w:ascii="Arial" w:hAnsi="Arial" w:cs="Arial"/>
          <w:sz w:val="22"/>
          <w:szCs w:val="22"/>
        </w:rPr>
        <w:t>rispettivamente per uomini</w:t>
      </w:r>
      <w:r w:rsidR="00B518CD" w:rsidRPr="0010528F">
        <w:rPr>
          <w:rFonts w:ascii="Arial" w:hAnsi="Arial" w:cs="Arial"/>
          <w:sz w:val="22"/>
          <w:szCs w:val="22"/>
        </w:rPr>
        <w:t xml:space="preserve"> e donne sotto i 30 anni</w:t>
      </w:r>
      <w:r w:rsidR="00B518CD">
        <w:rPr>
          <w:rFonts w:ascii="Arial" w:hAnsi="Arial" w:cs="Arial"/>
          <w:sz w:val="22"/>
          <w:szCs w:val="22"/>
        </w:rPr>
        <w:t xml:space="preserve"> di età.</w:t>
      </w:r>
      <w:r w:rsidR="00B518CD" w:rsidRPr="0010528F">
        <w:rPr>
          <w:rFonts w:ascii="Arial" w:hAnsi="Arial" w:cs="Arial"/>
          <w:sz w:val="22"/>
          <w:szCs w:val="22"/>
        </w:rPr>
        <w:t xml:space="preserve"> </w:t>
      </w:r>
      <w:r w:rsidR="00B518CD">
        <w:rPr>
          <w:rFonts w:ascii="Arial" w:hAnsi="Arial" w:cs="Arial"/>
          <w:sz w:val="22"/>
          <w:szCs w:val="22"/>
        </w:rPr>
        <w:t xml:space="preserve">Viceversa, </w:t>
      </w:r>
      <w:r w:rsidR="00B518CD" w:rsidRPr="0010528F">
        <w:rPr>
          <w:rFonts w:ascii="Arial" w:hAnsi="Arial" w:cs="Arial"/>
          <w:sz w:val="22"/>
          <w:szCs w:val="22"/>
        </w:rPr>
        <w:t xml:space="preserve">dai 30 anni </w:t>
      </w:r>
      <w:r w:rsidR="00B518CD">
        <w:rPr>
          <w:rFonts w:ascii="Arial" w:hAnsi="Arial" w:cs="Arial"/>
          <w:sz w:val="22"/>
          <w:szCs w:val="22"/>
        </w:rPr>
        <w:t xml:space="preserve">di età </w:t>
      </w:r>
      <w:r w:rsidR="00B518CD" w:rsidRPr="0010528F">
        <w:rPr>
          <w:rFonts w:ascii="Arial" w:hAnsi="Arial" w:cs="Arial"/>
          <w:sz w:val="22"/>
          <w:szCs w:val="22"/>
        </w:rPr>
        <w:t xml:space="preserve">in poi </w:t>
      </w:r>
      <w:r w:rsidR="00B518CD">
        <w:rPr>
          <w:rFonts w:ascii="Arial" w:hAnsi="Arial" w:cs="Arial"/>
          <w:sz w:val="22"/>
          <w:szCs w:val="22"/>
        </w:rPr>
        <w:t>si registra un recupero, rispettivamente, dell’1,2%</w:t>
      </w:r>
      <w:r w:rsidR="00B518CD" w:rsidRPr="0010528F">
        <w:rPr>
          <w:rFonts w:ascii="Arial" w:hAnsi="Arial" w:cs="Arial"/>
          <w:sz w:val="22"/>
          <w:szCs w:val="22"/>
        </w:rPr>
        <w:t xml:space="preserve"> e </w:t>
      </w:r>
      <w:r w:rsidR="00B518CD">
        <w:rPr>
          <w:rFonts w:ascii="Arial" w:hAnsi="Arial" w:cs="Arial"/>
          <w:sz w:val="22"/>
          <w:szCs w:val="22"/>
        </w:rPr>
        <w:t>del 2,0</w:t>
      </w:r>
      <w:r w:rsidR="00B518CD" w:rsidRPr="0010528F">
        <w:rPr>
          <w:rFonts w:ascii="Arial" w:hAnsi="Arial" w:cs="Arial"/>
          <w:sz w:val="22"/>
          <w:szCs w:val="22"/>
        </w:rPr>
        <w:t>%</w:t>
      </w:r>
      <w:r w:rsidR="00B518CD">
        <w:rPr>
          <w:rFonts w:ascii="Arial" w:hAnsi="Arial" w:cs="Arial"/>
          <w:sz w:val="22"/>
          <w:szCs w:val="22"/>
        </w:rPr>
        <w:t xml:space="preserve"> </w:t>
      </w:r>
      <w:r w:rsidR="00FE044D">
        <w:rPr>
          <w:rFonts w:ascii="Arial" w:hAnsi="Arial" w:cs="Arial"/>
          <w:sz w:val="22"/>
          <w:szCs w:val="22"/>
        </w:rPr>
        <w:t>(</w:t>
      </w:r>
      <w:r w:rsidR="00FE044D" w:rsidRPr="0026024B">
        <w:rPr>
          <w:rFonts w:ascii="Arial" w:hAnsi="Arial" w:cs="Arial"/>
          <w:sz w:val="22"/>
          <w:szCs w:val="22"/>
        </w:rPr>
        <w:t>Figura 3</w:t>
      </w:r>
      <w:r w:rsidR="00FE044D">
        <w:rPr>
          <w:rFonts w:ascii="Arial" w:hAnsi="Arial" w:cs="Arial"/>
          <w:sz w:val="22"/>
          <w:szCs w:val="22"/>
        </w:rPr>
        <w:t>)</w:t>
      </w:r>
      <w:r w:rsidR="00DE19BF" w:rsidRPr="0010528F">
        <w:rPr>
          <w:rFonts w:ascii="Arial" w:hAnsi="Arial" w:cs="Arial"/>
          <w:sz w:val="22"/>
          <w:szCs w:val="22"/>
        </w:rPr>
        <w:t xml:space="preserve">. A livello aggregato, la tendenza al rinvio porta </w:t>
      </w:r>
      <w:r w:rsidR="00CC085B">
        <w:rPr>
          <w:rFonts w:ascii="Arial" w:hAnsi="Arial" w:cs="Arial"/>
          <w:sz w:val="22"/>
          <w:szCs w:val="22"/>
        </w:rPr>
        <w:t>l</w:t>
      </w:r>
      <w:r w:rsidR="00DE19BF" w:rsidRPr="0010528F">
        <w:rPr>
          <w:rFonts w:ascii="Arial" w:hAnsi="Arial" w:cs="Arial"/>
          <w:sz w:val="22"/>
          <w:szCs w:val="22"/>
        </w:rPr>
        <w:t xml:space="preserve">’età media </w:t>
      </w:r>
      <w:r w:rsidR="00CC085B">
        <w:rPr>
          <w:rFonts w:ascii="Arial" w:hAnsi="Arial" w:cs="Arial"/>
          <w:sz w:val="22"/>
          <w:szCs w:val="22"/>
        </w:rPr>
        <w:t>a</w:t>
      </w:r>
      <w:r w:rsidR="00CC085B" w:rsidRPr="0010528F">
        <w:rPr>
          <w:rFonts w:ascii="Arial" w:hAnsi="Arial" w:cs="Arial"/>
          <w:sz w:val="22"/>
          <w:szCs w:val="22"/>
        </w:rPr>
        <w:t xml:space="preserve">lle prime nozze </w:t>
      </w:r>
      <w:r w:rsidR="00CC085B">
        <w:rPr>
          <w:rFonts w:ascii="Arial" w:hAnsi="Arial" w:cs="Arial"/>
          <w:sz w:val="22"/>
          <w:szCs w:val="22"/>
        </w:rPr>
        <w:t>a</w:t>
      </w:r>
      <w:r w:rsidR="00DE19BF" w:rsidRPr="0010528F">
        <w:rPr>
          <w:rFonts w:ascii="Arial" w:hAnsi="Arial" w:cs="Arial"/>
          <w:sz w:val="22"/>
          <w:szCs w:val="22"/>
        </w:rPr>
        <w:t xml:space="preserve"> 34,6 </w:t>
      </w:r>
      <w:r w:rsidR="00CC085B">
        <w:rPr>
          <w:rFonts w:ascii="Arial" w:hAnsi="Arial" w:cs="Arial"/>
          <w:sz w:val="22"/>
          <w:szCs w:val="22"/>
        </w:rPr>
        <w:t xml:space="preserve">anni </w:t>
      </w:r>
      <w:r w:rsidR="0010528F" w:rsidRPr="0010528F">
        <w:rPr>
          <w:rFonts w:ascii="Arial" w:hAnsi="Arial" w:cs="Arial"/>
          <w:sz w:val="22"/>
          <w:szCs w:val="22"/>
        </w:rPr>
        <w:t xml:space="preserve">per gli uomini </w:t>
      </w:r>
      <w:r w:rsidR="00A41BF4">
        <w:rPr>
          <w:rFonts w:ascii="Arial" w:hAnsi="Arial" w:cs="Arial"/>
          <w:sz w:val="22"/>
          <w:szCs w:val="22"/>
        </w:rPr>
        <w:t xml:space="preserve">(+0,3 punti rispetto all’anno precedente) </w:t>
      </w:r>
      <w:r w:rsidR="00DE19BF" w:rsidRPr="0010528F">
        <w:rPr>
          <w:rFonts w:ascii="Arial" w:hAnsi="Arial" w:cs="Arial"/>
          <w:sz w:val="22"/>
          <w:szCs w:val="22"/>
        </w:rPr>
        <w:t xml:space="preserve">e </w:t>
      </w:r>
      <w:r w:rsidR="00CC085B">
        <w:rPr>
          <w:rFonts w:ascii="Arial" w:hAnsi="Arial" w:cs="Arial"/>
          <w:sz w:val="22"/>
          <w:szCs w:val="22"/>
        </w:rPr>
        <w:t xml:space="preserve">a </w:t>
      </w:r>
      <w:r w:rsidR="00DE19BF" w:rsidRPr="0010528F">
        <w:rPr>
          <w:rFonts w:ascii="Arial" w:hAnsi="Arial" w:cs="Arial"/>
          <w:sz w:val="22"/>
          <w:szCs w:val="22"/>
        </w:rPr>
        <w:t xml:space="preserve">32,5 anni </w:t>
      </w:r>
      <w:r w:rsidR="0010528F" w:rsidRPr="0010528F">
        <w:rPr>
          <w:rFonts w:ascii="Arial" w:hAnsi="Arial" w:cs="Arial"/>
          <w:sz w:val="22"/>
          <w:szCs w:val="22"/>
        </w:rPr>
        <w:t>per le</w:t>
      </w:r>
      <w:r w:rsidR="00DE19BF" w:rsidRPr="0010528F">
        <w:rPr>
          <w:rFonts w:ascii="Arial" w:hAnsi="Arial" w:cs="Arial"/>
          <w:sz w:val="22"/>
          <w:szCs w:val="22"/>
        </w:rPr>
        <w:t xml:space="preserve"> donne</w:t>
      </w:r>
      <w:r w:rsidR="00C20913">
        <w:rPr>
          <w:rFonts w:ascii="Arial" w:hAnsi="Arial" w:cs="Arial"/>
          <w:sz w:val="22"/>
          <w:szCs w:val="22"/>
        </w:rPr>
        <w:t xml:space="preserve"> </w:t>
      </w:r>
      <w:r w:rsidR="00A41BF4">
        <w:rPr>
          <w:rFonts w:ascii="Arial" w:hAnsi="Arial" w:cs="Arial"/>
          <w:sz w:val="22"/>
          <w:szCs w:val="22"/>
        </w:rPr>
        <w:t>(+</w:t>
      </w:r>
      <w:r w:rsidR="00C20913">
        <w:rPr>
          <w:rFonts w:ascii="Arial" w:hAnsi="Arial" w:cs="Arial"/>
          <w:sz w:val="22"/>
          <w:szCs w:val="22"/>
        </w:rPr>
        <w:t>0,4</w:t>
      </w:r>
      <w:r w:rsidR="00A41BF4">
        <w:rPr>
          <w:rFonts w:ascii="Arial" w:hAnsi="Arial" w:cs="Arial"/>
          <w:sz w:val="22"/>
          <w:szCs w:val="22"/>
        </w:rPr>
        <w:t>)</w:t>
      </w:r>
      <w:r w:rsidR="00DE19BF" w:rsidRPr="0010528F">
        <w:rPr>
          <w:rFonts w:ascii="Arial" w:hAnsi="Arial" w:cs="Arial"/>
          <w:sz w:val="22"/>
          <w:szCs w:val="22"/>
        </w:rPr>
        <w:t>.</w:t>
      </w:r>
    </w:p>
    <w:p w14:paraId="53A21F8E" w14:textId="1910C942" w:rsidR="000962ED" w:rsidRPr="00685AB5" w:rsidRDefault="000962ED" w:rsidP="00231001">
      <w:pPr>
        <w:spacing w:after="120"/>
        <w:jc w:val="both"/>
        <w:outlineLvl w:val="0"/>
        <w:rPr>
          <w:rFonts w:ascii="Arial" w:hAnsi="Arial" w:cs="Arial"/>
          <w:sz w:val="22"/>
          <w:szCs w:val="22"/>
        </w:rPr>
      </w:pPr>
    </w:p>
    <w:p w14:paraId="52B80686" w14:textId="49EF451F" w:rsidR="00935509" w:rsidRPr="00E42BAB" w:rsidRDefault="00BC1E70" w:rsidP="00231001">
      <w:pPr>
        <w:spacing w:after="120"/>
        <w:jc w:val="both"/>
        <w:outlineLvl w:val="0"/>
        <w:rPr>
          <w:rFonts w:ascii="Arial" w:hAnsi="Arial" w:cs="Arial"/>
          <w:b/>
          <w:color w:val="1F497D" w:themeColor="text2"/>
          <w:sz w:val="26"/>
          <w:szCs w:val="26"/>
        </w:rPr>
      </w:pPr>
      <w:r w:rsidRPr="00E42BAB">
        <w:rPr>
          <w:rFonts w:ascii="Arial" w:hAnsi="Arial" w:cs="Arial"/>
          <w:b/>
          <w:color w:val="1F497D" w:themeColor="text2"/>
          <w:sz w:val="26"/>
          <w:szCs w:val="26"/>
        </w:rPr>
        <w:t xml:space="preserve">Unioni civili </w:t>
      </w:r>
      <w:r w:rsidR="00C902AA" w:rsidRPr="00E42BAB">
        <w:rPr>
          <w:rFonts w:ascii="Arial" w:hAnsi="Arial" w:cs="Arial"/>
          <w:b/>
          <w:color w:val="1F497D" w:themeColor="text2"/>
          <w:sz w:val="26"/>
          <w:szCs w:val="26"/>
        </w:rPr>
        <w:t xml:space="preserve">in </w:t>
      </w:r>
      <w:r w:rsidR="00E42BAB">
        <w:rPr>
          <w:rFonts w:ascii="Arial" w:hAnsi="Arial" w:cs="Arial"/>
          <w:b/>
          <w:color w:val="1F497D" w:themeColor="text2"/>
          <w:sz w:val="26"/>
          <w:szCs w:val="26"/>
        </w:rPr>
        <w:t xml:space="preserve">evidente </w:t>
      </w:r>
      <w:r w:rsidR="00C902AA" w:rsidRPr="00E42BAB">
        <w:rPr>
          <w:rFonts w:ascii="Arial" w:hAnsi="Arial" w:cs="Arial"/>
          <w:b/>
          <w:color w:val="1F497D" w:themeColor="text2"/>
          <w:sz w:val="26"/>
          <w:szCs w:val="26"/>
        </w:rPr>
        <w:t xml:space="preserve">aumento </w:t>
      </w:r>
    </w:p>
    <w:p w14:paraId="1226078A" w14:textId="58E2A7E2" w:rsidR="004A30E4" w:rsidRDefault="001567B2" w:rsidP="00231001">
      <w:pPr>
        <w:spacing w:after="120"/>
        <w:jc w:val="both"/>
        <w:outlineLvl w:val="0"/>
        <w:rPr>
          <w:rFonts w:ascii="Arial" w:hAnsi="Arial" w:cs="Arial"/>
          <w:sz w:val="22"/>
          <w:szCs w:val="22"/>
        </w:rPr>
      </w:pPr>
      <w:r w:rsidRPr="00E42BAB">
        <w:rPr>
          <w:rFonts w:ascii="Arial" w:hAnsi="Arial" w:cs="Arial"/>
          <w:sz w:val="22"/>
          <w:szCs w:val="22"/>
        </w:rPr>
        <w:t xml:space="preserve">Il 5 giugno 2016 è entrata in vigore la </w:t>
      </w:r>
      <w:r w:rsidR="0079194F" w:rsidRPr="00E42BAB">
        <w:rPr>
          <w:rFonts w:ascii="Arial" w:hAnsi="Arial" w:cs="Arial"/>
          <w:sz w:val="22"/>
          <w:szCs w:val="22"/>
        </w:rPr>
        <w:t>l</w:t>
      </w:r>
      <w:r w:rsidRPr="00E42BAB">
        <w:rPr>
          <w:rFonts w:ascii="Arial" w:hAnsi="Arial" w:cs="Arial"/>
          <w:sz w:val="22"/>
          <w:szCs w:val="22"/>
        </w:rPr>
        <w:t>egge che ha introdotto in Italia l'istituto dell'unione civile tra persone dello stesso sesso</w:t>
      </w:r>
      <w:r w:rsidRPr="00E42BAB">
        <w:rPr>
          <w:rStyle w:val="Rimandonotadichiusura"/>
          <w:rFonts w:ascii="Arial" w:hAnsi="Arial" w:cs="Arial"/>
          <w:sz w:val="22"/>
          <w:szCs w:val="22"/>
        </w:rPr>
        <w:endnoteReference w:id="6"/>
      </w:r>
      <w:r w:rsidR="007B4AED" w:rsidRPr="00E42BAB">
        <w:rPr>
          <w:rFonts w:ascii="Arial" w:hAnsi="Arial" w:cs="Arial"/>
          <w:sz w:val="22"/>
          <w:szCs w:val="22"/>
        </w:rPr>
        <w:t>.</w:t>
      </w:r>
      <w:r w:rsidR="00F37C9D" w:rsidRPr="00E42BAB">
        <w:rPr>
          <w:rFonts w:ascii="Arial" w:hAnsi="Arial" w:cs="Arial"/>
          <w:sz w:val="22"/>
          <w:szCs w:val="22"/>
        </w:rPr>
        <w:t xml:space="preserve"> N</w:t>
      </w:r>
      <w:r w:rsidRPr="00E42BAB">
        <w:rPr>
          <w:rFonts w:ascii="Arial" w:hAnsi="Arial" w:cs="Arial"/>
          <w:sz w:val="22"/>
          <w:szCs w:val="22"/>
        </w:rPr>
        <w:t>el corso del secondo semestre 2016 si costitui</w:t>
      </w:r>
      <w:r w:rsidR="00CC085B">
        <w:rPr>
          <w:rFonts w:ascii="Arial" w:hAnsi="Arial" w:cs="Arial"/>
          <w:sz w:val="22"/>
          <w:szCs w:val="22"/>
        </w:rPr>
        <w:t>rono</w:t>
      </w:r>
      <w:r w:rsidRPr="00E42BAB">
        <w:rPr>
          <w:rFonts w:ascii="Arial" w:hAnsi="Arial" w:cs="Arial"/>
          <w:sz w:val="22"/>
          <w:szCs w:val="22"/>
        </w:rPr>
        <w:t xml:space="preserve"> 2.336 unioni civili, un numero particolarmente consistente che ha riguardato coppie da tempo in attesa di ufficializzare il proprio legame affettivo. Al </w:t>
      </w:r>
      <w:r w:rsidRPr="00E42BAB">
        <w:rPr>
          <w:rFonts w:ascii="Arial" w:hAnsi="Arial" w:cs="Arial"/>
          <w:i/>
          <w:iCs/>
          <w:sz w:val="22"/>
          <w:szCs w:val="22"/>
        </w:rPr>
        <w:t>boom</w:t>
      </w:r>
      <w:r w:rsidRPr="00E42BAB">
        <w:rPr>
          <w:rFonts w:ascii="Arial" w:hAnsi="Arial" w:cs="Arial"/>
          <w:sz w:val="22"/>
          <w:szCs w:val="22"/>
        </w:rPr>
        <w:t xml:space="preserve"> iniziale ha fatto poi seguito un</w:t>
      </w:r>
      <w:r w:rsidR="00AE3B22" w:rsidRPr="00E42BAB">
        <w:rPr>
          <w:rFonts w:ascii="Arial" w:hAnsi="Arial" w:cs="Arial"/>
          <w:sz w:val="22"/>
          <w:szCs w:val="22"/>
        </w:rPr>
        <w:t>a</w:t>
      </w:r>
      <w:r w:rsidRPr="00E42BAB">
        <w:rPr>
          <w:rFonts w:ascii="Arial" w:hAnsi="Arial" w:cs="Arial"/>
          <w:sz w:val="22"/>
          <w:szCs w:val="22"/>
        </w:rPr>
        <w:t xml:space="preserve"> progressiv</w:t>
      </w:r>
      <w:r w:rsidR="00AE3B22" w:rsidRPr="00E42BAB">
        <w:rPr>
          <w:rFonts w:ascii="Arial" w:hAnsi="Arial" w:cs="Arial"/>
          <w:sz w:val="22"/>
          <w:szCs w:val="22"/>
        </w:rPr>
        <w:t>a</w:t>
      </w:r>
      <w:r w:rsidRPr="00E42BAB">
        <w:rPr>
          <w:rFonts w:ascii="Arial" w:hAnsi="Arial" w:cs="Arial"/>
          <w:sz w:val="22"/>
          <w:szCs w:val="22"/>
        </w:rPr>
        <w:t xml:space="preserve"> </w:t>
      </w:r>
      <w:r w:rsidR="00AE3B22" w:rsidRPr="00E42BAB">
        <w:rPr>
          <w:rFonts w:ascii="Arial" w:hAnsi="Arial" w:cs="Arial"/>
          <w:sz w:val="22"/>
          <w:szCs w:val="22"/>
        </w:rPr>
        <w:t>stabilizzazione</w:t>
      </w:r>
      <w:r w:rsidR="00CC085B">
        <w:rPr>
          <w:rFonts w:ascii="Arial" w:hAnsi="Arial" w:cs="Arial"/>
          <w:sz w:val="22"/>
          <w:szCs w:val="22"/>
        </w:rPr>
        <w:t>,</w:t>
      </w:r>
      <w:r w:rsidR="00C902AA" w:rsidRPr="00E42BAB">
        <w:rPr>
          <w:rFonts w:ascii="Arial" w:hAnsi="Arial" w:cs="Arial"/>
          <w:sz w:val="22"/>
          <w:szCs w:val="22"/>
        </w:rPr>
        <w:t xml:space="preserve"> </w:t>
      </w:r>
      <w:r w:rsidR="00CC085B">
        <w:rPr>
          <w:rFonts w:ascii="Arial" w:hAnsi="Arial" w:cs="Arial"/>
          <w:sz w:val="22"/>
          <w:szCs w:val="22"/>
        </w:rPr>
        <w:t xml:space="preserve">anche </w:t>
      </w:r>
      <w:r w:rsidR="00C902AA" w:rsidRPr="00E42BAB">
        <w:rPr>
          <w:rFonts w:ascii="Arial" w:hAnsi="Arial" w:cs="Arial"/>
          <w:sz w:val="22"/>
          <w:szCs w:val="22"/>
        </w:rPr>
        <w:t xml:space="preserve">accentuata dalle difficoltà legate al periodo della pandemia. </w:t>
      </w:r>
    </w:p>
    <w:p w14:paraId="1D65D616" w14:textId="663C182E" w:rsidR="002D5E31" w:rsidRPr="00E42BAB" w:rsidRDefault="00C902AA" w:rsidP="00231001">
      <w:pPr>
        <w:spacing w:after="120"/>
        <w:jc w:val="both"/>
        <w:outlineLvl w:val="0"/>
        <w:rPr>
          <w:rFonts w:ascii="Arial" w:hAnsi="Arial" w:cs="Arial"/>
          <w:sz w:val="22"/>
          <w:szCs w:val="22"/>
        </w:rPr>
      </w:pPr>
      <w:r w:rsidRPr="00E42BAB">
        <w:rPr>
          <w:rFonts w:ascii="Arial" w:hAnsi="Arial" w:cs="Arial"/>
          <w:sz w:val="22"/>
          <w:szCs w:val="22"/>
        </w:rPr>
        <w:t>Le 2.813 unioni civili tra coppie dello stesso sesso costituite presso gli Uffici di Stato Civile dei Comuni italiani nel 2022 mostrano</w:t>
      </w:r>
      <w:r w:rsidR="004A30E4">
        <w:rPr>
          <w:rFonts w:ascii="Arial" w:hAnsi="Arial" w:cs="Arial"/>
          <w:sz w:val="22"/>
          <w:szCs w:val="22"/>
        </w:rPr>
        <w:t xml:space="preserve"> </w:t>
      </w:r>
      <w:r w:rsidRPr="00E42BAB">
        <w:rPr>
          <w:rFonts w:ascii="Arial" w:hAnsi="Arial" w:cs="Arial"/>
          <w:sz w:val="22"/>
          <w:szCs w:val="22"/>
        </w:rPr>
        <w:t>un apprezzabile aumento rispetto all’anno precedente (+31</w:t>
      </w:r>
      <w:r w:rsidR="005B0ECE">
        <w:rPr>
          <w:rFonts w:ascii="Arial" w:hAnsi="Arial" w:cs="Arial"/>
          <w:sz w:val="22"/>
          <w:szCs w:val="22"/>
        </w:rPr>
        <w:t>,0</w:t>
      </w:r>
      <w:r w:rsidRPr="00E42BAB">
        <w:rPr>
          <w:rFonts w:ascii="Arial" w:hAnsi="Arial" w:cs="Arial"/>
          <w:sz w:val="22"/>
          <w:szCs w:val="22"/>
        </w:rPr>
        <w:t xml:space="preserve">%) e </w:t>
      </w:r>
      <w:r w:rsidR="007D7DFE" w:rsidRPr="00E42BAB">
        <w:rPr>
          <w:rFonts w:ascii="Arial" w:hAnsi="Arial" w:cs="Arial"/>
          <w:sz w:val="22"/>
          <w:szCs w:val="22"/>
        </w:rPr>
        <w:t>un sostanziale incremento anche rispetto al 2019</w:t>
      </w:r>
      <w:r w:rsidR="00CB78B1">
        <w:rPr>
          <w:rFonts w:ascii="Arial" w:hAnsi="Arial" w:cs="Arial"/>
          <w:sz w:val="22"/>
          <w:szCs w:val="22"/>
        </w:rPr>
        <w:t xml:space="preserve"> </w:t>
      </w:r>
      <w:r w:rsidR="00B45C2A" w:rsidRPr="00E42BAB">
        <w:rPr>
          <w:rFonts w:ascii="Arial" w:hAnsi="Arial" w:cs="Arial"/>
          <w:sz w:val="22"/>
          <w:szCs w:val="22"/>
        </w:rPr>
        <w:t>(</w:t>
      </w:r>
      <w:r w:rsidR="007D7DFE" w:rsidRPr="00E42BAB">
        <w:rPr>
          <w:rFonts w:ascii="Arial" w:hAnsi="Arial" w:cs="Arial"/>
          <w:sz w:val="22"/>
          <w:szCs w:val="22"/>
        </w:rPr>
        <w:t>+22,5%</w:t>
      </w:r>
      <w:r w:rsidR="00B45C2A" w:rsidRPr="00E42BAB">
        <w:rPr>
          <w:rFonts w:ascii="Arial" w:hAnsi="Arial" w:cs="Arial"/>
          <w:sz w:val="22"/>
          <w:szCs w:val="22"/>
        </w:rPr>
        <w:t>).</w:t>
      </w:r>
      <w:r w:rsidR="005B0ECE">
        <w:rPr>
          <w:rFonts w:ascii="Arial" w:hAnsi="Arial" w:cs="Arial"/>
          <w:sz w:val="22"/>
          <w:szCs w:val="22"/>
        </w:rPr>
        <w:t xml:space="preserve"> Considerando i dati provvisori dei primi </w:t>
      </w:r>
      <w:r w:rsidR="004338AF">
        <w:rPr>
          <w:rFonts w:ascii="Arial" w:hAnsi="Arial" w:cs="Arial"/>
          <w:sz w:val="22"/>
          <w:szCs w:val="22"/>
        </w:rPr>
        <w:t>otto</w:t>
      </w:r>
      <w:r w:rsidR="005B0ECE">
        <w:rPr>
          <w:rFonts w:ascii="Arial" w:hAnsi="Arial" w:cs="Arial"/>
          <w:sz w:val="22"/>
          <w:szCs w:val="22"/>
        </w:rPr>
        <w:t xml:space="preserve"> mesi del 2023 la tendenza all’aumento appare confermata</w:t>
      </w:r>
      <w:r w:rsidR="00D5106F">
        <w:rPr>
          <w:rFonts w:ascii="Arial" w:hAnsi="Arial" w:cs="Arial"/>
          <w:sz w:val="22"/>
          <w:szCs w:val="22"/>
        </w:rPr>
        <w:t xml:space="preserve"> se confrontata con i dati dello stesso periodo del 2022</w:t>
      </w:r>
      <w:r w:rsidR="00C71266">
        <w:rPr>
          <w:rFonts w:ascii="Arial" w:hAnsi="Arial" w:cs="Arial"/>
          <w:sz w:val="22"/>
          <w:szCs w:val="22"/>
        </w:rPr>
        <w:t xml:space="preserve"> (circa </w:t>
      </w:r>
      <w:r w:rsidR="009D7035">
        <w:rPr>
          <w:rFonts w:ascii="Arial" w:hAnsi="Arial" w:cs="Arial"/>
          <w:sz w:val="22"/>
          <w:szCs w:val="22"/>
        </w:rPr>
        <w:t xml:space="preserve">il 10% </w:t>
      </w:r>
      <w:r w:rsidR="005B0ECE">
        <w:rPr>
          <w:rFonts w:ascii="Arial" w:hAnsi="Arial" w:cs="Arial"/>
          <w:sz w:val="22"/>
          <w:szCs w:val="22"/>
        </w:rPr>
        <w:t>in più</w:t>
      </w:r>
      <w:r w:rsidR="009D7035">
        <w:rPr>
          <w:rFonts w:ascii="Arial" w:hAnsi="Arial" w:cs="Arial"/>
          <w:sz w:val="22"/>
          <w:szCs w:val="22"/>
        </w:rPr>
        <w:t>)</w:t>
      </w:r>
      <w:r w:rsidR="005B0ECE">
        <w:rPr>
          <w:rFonts w:ascii="Arial" w:hAnsi="Arial" w:cs="Arial"/>
          <w:sz w:val="22"/>
          <w:szCs w:val="22"/>
        </w:rPr>
        <w:t xml:space="preserve">. </w:t>
      </w:r>
    </w:p>
    <w:p w14:paraId="53B15F94" w14:textId="0D1FFAC5" w:rsidR="00803AE3" w:rsidRPr="00E42BAB" w:rsidRDefault="004E1EE3" w:rsidP="00231001">
      <w:pPr>
        <w:spacing w:after="120"/>
        <w:jc w:val="both"/>
        <w:outlineLvl w:val="0"/>
        <w:rPr>
          <w:rFonts w:ascii="Arial" w:hAnsi="Arial" w:cs="Arial"/>
          <w:sz w:val="22"/>
          <w:szCs w:val="22"/>
        </w:rPr>
      </w:pPr>
      <w:r w:rsidRPr="00E42BAB">
        <w:rPr>
          <w:rFonts w:ascii="Arial" w:hAnsi="Arial" w:cs="Arial"/>
          <w:sz w:val="22"/>
          <w:szCs w:val="22"/>
        </w:rPr>
        <w:t>Il 3</w:t>
      </w:r>
      <w:r w:rsidR="007D7DFE" w:rsidRPr="00E42BAB">
        <w:rPr>
          <w:rFonts w:ascii="Arial" w:hAnsi="Arial" w:cs="Arial"/>
          <w:sz w:val="22"/>
          <w:szCs w:val="22"/>
        </w:rPr>
        <w:t>5</w:t>
      </w:r>
      <w:r w:rsidRPr="00E42BAB">
        <w:rPr>
          <w:rFonts w:ascii="Arial" w:hAnsi="Arial" w:cs="Arial"/>
          <w:sz w:val="22"/>
          <w:szCs w:val="22"/>
        </w:rPr>
        <w:t>,</w:t>
      </w:r>
      <w:r w:rsidR="007D7DFE" w:rsidRPr="00E42BAB">
        <w:rPr>
          <w:rFonts w:ascii="Arial" w:hAnsi="Arial" w:cs="Arial"/>
          <w:sz w:val="22"/>
          <w:szCs w:val="22"/>
        </w:rPr>
        <w:t>7</w:t>
      </w:r>
      <w:r w:rsidRPr="00E42BAB">
        <w:rPr>
          <w:rFonts w:ascii="Arial" w:hAnsi="Arial" w:cs="Arial"/>
          <w:sz w:val="22"/>
          <w:szCs w:val="22"/>
        </w:rPr>
        <w:t xml:space="preserve">% </w:t>
      </w:r>
      <w:r w:rsidR="002D5E31" w:rsidRPr="00E42BAB">
        <w:rPr>
          <w:rFonts w:ascii="Arial" w:hAnsi="Arial" w:cs="Arial"/>
          <w:sz w:val="22"/>
          <w:szCs w:val="22"/>
        </w:rPr>
        <w:t xml:space="preserve">delle unioni civili </w:t>
      </w:r>
      <w:r w:rsidR="00617C01" w:rsidRPr="00E42BAB">
        <w:rPr>
          <w:rFonts w:ascii="Arial" w:hAnsi="Arial" w:cs="Arial"/>
          <w:sz w:val="22"/>
          <w:szCs w:val="22"/>
        </w:rPr>
        <w:t>è</w:t>
      </w:r>
      <w:r w:rsidR="002D5E31" w:rsidRPr="00E42BAB">
        <w:rPr>
          <w:rFonts w:ascii="Arial" w:hAnsi="Arial" w:cs="Arial"/>
          <w:sz w:val="22"/>
          <w:szCs w:val="22"/>
        </w:rPr>
        <w:t xml:space="preserve"> </w:t>
      </w:r>
      <w:r w:rsidRPr="00E42BAB">
        <w:rPr>
          <w:rFonts w:ascii="Arial" w:hAnsi="Arial" w:cs="Arial"/>
          <w:sz w:val="22"/>
          <w:szCs w:val="22"/>
        </w:rPr>
        <w:t xml:space="preserve">nel </w:t>
      </w:r>
      <w:r w:rsidR="002D5E31" w:rsidRPr="00E42BAB">
        <w:rPr>
          <w:rFonts w:ascii="Arial" w:hAnsi="Arial" w:cs="Arial"/>
          <w:sz w:val="22"/>
          <w:szCs w:val="22"/>
        </w:rPr>
        <w:t>Nord-ovest</w:t>
      </w:r>
      <w:r w:rsidRPr="00E42BAB">
        <w:rPr>
          <w:rFonts w:ascii="Arial" w:hAnsi="Arial" w:cs="Arial"/>
          <w:sz w:val="22"/>
          <w:szCs w:val="22"/>
        </w:rPr>
        <w:t>, seguito dal Centro (2</w:t>
      </w:r>
      <w:r w:rsidR="007D7DFE" w:rsidRPr="00E42BAB">
        <w:rPr>
          <w:rFonts w:ascii="Arial" w:hAnsi="Arial" w:cs="Arial"/>
          <w:sz w:val="22"/>
          <w:szCs w:val="22"/>
        </w:rPr>
        <w:t>6</w:t>
      </w:r>
      <w:r w:rsidRPr="00E42BAB">
        <w:rPr>
          <w:rFonts w:ascii="Arial" w:hAnsi="Arial" w:cs="Arial"/>
          <w:sz w:val="22"/>
          <w:szCs w:val="22"/>
        </w:rPr>
        <w:t>,</w:t>
      </w:r>
      <w:r w:rsidR="007D7DFE" w:rsidRPr="00E42BAB">
        <w:rPr>
          <w:rFonts w:ascii="Arial" w:hAnsi="Arial" w:cs="Arial"/>
          <w:sz w:val="22"/>
          <w:szCs w:val="22"/>
        </w:rPr>
        <w:t>3</w:t>
      </w:r>
      <w:r w:rsidR="007D1BE8" w:rsidRPr="00E42BAB">
        <w:rPr>
          <w:rFonts w:ascii="Arial" w:hAnsi="Arial" w:cs="Arial"/>
          <w:sz w:val="22"/>
          <w:szCs w:val="22"/>
        </w:rPr>
        <w:t>%</w:t>
      </w:r>
      <w:r w:rsidR="00560573" w:rsidRPr="00E42BAB">
        <w:rPr>
          <w:rFonts w:ascii="Arial" w:hAnsi="Arial" w:cs="Arial"/>
          <w:sz w:val="22"/>
          <w:szCs w:val="22"/>
        </w:rPr>
        <w:t xml:space="preserve">). </w:t>
      </w:r>
      <w:r w:rsidR="00706D3D" w:rsidRPr="00E42BAB">
        <w:rPr>
          <w:rFonts w:ascii="Arial" w:hAnsi="Arial" w:cs="Arial"/>
          <w:sz w:val="22"/>
          <w:szCs w:val="22"/>
        </w:rPr>
        <w:t>Tra le regioni</w:t>
      </w:r>
      <w:r w:rsidR="00CB78B1">
        <w:rPr>
          <w:rFonts w:ascii="Arial" w:hAnsi="Arial" w:cs="Arial"/>
          <w:sz w:val="22"/>
          <w:szCs w:val="22"/>
        </w:rPr>
        <w:t>,</w:t>
      </w:r>
      <w:r w:rsidR="00706D3D" w:rsidRPr="00E42BAB">
        <w:rPr>
          <w:rFonts w:ascii="Arial" w:hAnsi="Arial" w:cs="Arial"/>
          <w:sz w:val="22"/>
          <w:szCs w:val="22"/>
        </w:rPr>
        <w:t xml:space="preserve"> i</w:t>
      </w:r>
      <w:r w:rsidRPr="00E42BAB">
        <w:rPr>
          <w:rFonts w:ascii="Arial" w:hAnsi="Arial" w:cs="Arial"/>
          <w:sz w:val="22"/>
          <w:szCs w:val="22"/>
        </w:rPr>
        <w:t>n</w:t>
      </w:r>
      <w:r w:rsidR="00231BC5" w:rsidRPr="00E42BAB">
        <w:rPr>
          <w:rFonts w:ascii="Arial" w:hAnsi="Arial" w:cs="Arial"/>
          <w:sz w:val="22"/>
          <w:szCs w:val="22"/>
        </w:rPr>
        <w:t xml:space="preserve"> testa si posiziona</w:t>
      </w:r>
      <w:r w:rsidR="00981819" w:rsidRPr="00E42BAB">
        <w:rPr>
          <w:rFonts w:ascii="Arial" w:hAnsi="Arial" w:cs="Arial"/>
          <w:sz w:val="22"/>
          <w:szCs w:val="22"/>
        </w:rPr>
        <w:t xml:space="preserve"> la</w:t>
      </w:r>
      <w:r w:rsidRPr="00E42BAB">
        <w:rPr>
          <w:rFonts w:ascii="Arial" w:hAnsi="Arial" w:cs="Arial"/>
          <w:sz w:val="22"/>
          <w:szCs w:val="22"/>
        </w:rPr>
        <w:t xml:space="preserve"> Lombardia </w:t>
      </w:r>
      <w:r w:rsidR="00981819" w:rsidRPr="00E42BAB">
        <w:rPr>
          <w:rFonts w:ascii="Arial" w:hAnsi="Arial" w:cs="Arial"/>
          <w:sz w:val="22"/>
          <w:szCs w:val="22"/>
        </w:rPr>
        <w:t>con il 2</w:t>
      </w:r>
      <w:r w:rsidR="000A455F" w:rsidRPr="00E42BAB">
        <w:rPr>
          <w:rFonts w:ascii="Arial" w:hAnsi="Arial" w:cs="Arial"/>
          <w:sz w:val="22"/>
          <w:szCs w:val="22"/>
        </w:rPr>
        <w:t>2</w:t>
      </w:r>
      <w:r w:rsidR="00BA2FFB" w:rsidRPr="00E42BAB">
        <w:rPr>
          <w:rFonts w:ascii="Arial" w:hAnsi="Arial" w:cs="Arial"/>
          <w:sz w:val="22"/>
          <w:szCs w:val="22"/>
        </w:rPr>
        <w:t>,</w:t>
      </w:r>
      <w:r w:rsidR="001257BA" w:rsidRPr="00E42BAB">
        <w:rPr>
          <w:rFonts w:ascii="Arial" w:hAnsi="Arial" w:cs="Arial"/>
          <w:sz w:val="22"/>
          <w:szCs w:val="22"/>
        </w:rPr>
        <w:t>8</w:t>
      </w:r>
      <w:r w:rsidR="00981819" w:rsidRPr="00E42BAB">
        <w:rPr>
          <w:rFonts w:ascii="Arial" w:hAnsi="Arial" w:cs="Arial"/>
          <w:sz w:val="22"/>
          <w:szCs w:val="22"/>
        </w:rPr>
        <w:t>%</w:t>
      </w:r>
      <w:r w:rsidR="00C90630" w:rsidRPr="00E42BAB">
        <w:rPr>
          <w:rFonts w:ascii="Arial" w:hAnsi="Arial" w:cs="Arial"/>
          <w:sz w:val="22"/>
          <w:szCs w:val="22"/>
        </w:rPr>
        <w:t>;</w:t>
      </w:r>
      <w:r w:rsidR="0052794B" w:rsidRPr="00E42BAB">
        <w:rPr>
          <w:rFonts w:ascii="Arial" w:hAnsi="Arial" w:cs="Arial"/>
          <w:sz w:val="22"/>
          <w:szCs w:val="22"/>
        </w:rPr>
        <w:t xml:space="preserve"> </w:t>
      </w:r>
      <w:r w:rsidR="00617C01" w:rsidRPr="00E42BAB">
        <w:rPr>
          <w:rFonts w:ascii="Arial" w:hAnsi="Arial" w:cs="Arial"/>
          <w:sz w:val="22"/>
          <w:szCs w:val="22"/>
        </w:rPr>
        <w:t>seguono</w:t>
      </w:r>
      <w:r w:rsidR="00BA2FFB" w:rsidRPr="00E42BAB">
        <w:rPr>
          <w:rFonts w:ascii="Arial" w:hAnsi="Arial" w:cs="Arial"/>
          <w:sz w:val="22"/>
          <w:szCs w:val="22"/>
        </w:rPr>
        <w:t xml:space="preserve"> </w:t>
      </w:r>
      <w:r w:rsidR="00CB78B1">
        <w:rPr>
          <w:rFonts w:ascii="Arial" w:hAnsi="Arial" w:cs="Arial"/>
          <w:sz w:val="22"/>
          <w:szCs w:val="22"/>
        </w:rPr>
        <w:t xml:space="preserve">il </w:t>
      </w:r>
      <w:r w:rsidR="00BA2FFB" w:rsidRPr="00E42BAB">
        <w:rPr>
          <w:rFonts w:ascii="Arial" w:hAnsi="Arial" w:cs="Arial"/>
          <w:sz w:val="22"/>
          <w:szCs w:val="22"/>
        </w:rPr>
        <w:t>Lazio (1</w:t>
      </w:r>
      <w:r w:rsidR="001257BA" w:rsidRPr="00E42BAB">
        <w:rPr>
          <w:rFonts w:ascii="Arial" w:hAnsi="Arial" w:cs="Arial"/>
          <w:sz w:val="22"/>
          <w:szCs w:val="22"/>
        </w:rPr>
        <w:t>3</w:t>
      </w:r>
      <w:r w:rsidR="00BA2FFB" w:rsidRPr="00E42BAB">
        <w:rPr>
          <w:rFonts w:ascii="Arial" w:hAnsi="Arial" w:cs="Arial"/>
          <w:sz w:val="22"/>
          <w:szCs w:val="22"/>
        </w:rPr>
        <w:t>,</w:t>
      </w:r>
      <w:r w:rsidR="000A455F" w:rsidRPr="00E42BAB">
        <w:rPr>
          <w:rFonts w:ascii="Arial" w:hAnsi="Arial" w:cs="Arial"/>
          <w:sz w:val="22"/>
          <w:szCs w:val="22"/>
        </w:rPr>
        <w:t>7</w:t>
      </w:r>
      <w:r w:rsidR="00981819" w:rsidRPr="00E42BAB">
        <w:rPr>
          <w:rFonts w:ascii="Arial" w:hAnsi="Arial" w:cs="Arial"/>
          <w:sz w:val="22"/>
          <w:szCs w:val="22"/>
        </w:rPr>
        <w:t>%)</w:t>
      </w:r>
      <w:r w:rsidR="001257BA" w:rsidRPr="00E42BAB">
        <w:rPr>
          <w:rFonts w:ascii="Arial" w:hAnsi="Arial" w:cs="Arial"/>
          <w:sz w:val="22"/>
          <w:szCs w:val="22"/>
        </w:rPr>
        <w:t xml:space="preserve"> e</w:t>
      </w:r>
      <w:r w:rsidR="00CB78B1">
        <w:rPr>
          <w:rFonts w:ascii="Arial" w:hAnsi="Arial" w:cs="Arial"/>
          <w:sz w:val="22"/>
          <w:szCs w:val="22"/>
        </w:rPr>
        <w:t xml:space="preserve"> l’</w:t>
      </w:r>
      <w:r w:rsidR="00981819" w:rsidRPr="00E42BAB">
        <w:rPr>
          <w:rFonts w:ascii="Arial" w:hAnsi="Arial" w:cs="Arial"/>
          <w:sz w:val="22"/>
          <w:szCs w:val="22"/>
        </w:rPr>
        <w:t>Emilia-Romagna (</w:t>
      </w:r>
      <w:r w:rsidR="000A455F" w:rsidRPr="00E42BAB">
        <w:rPr>
          <w:rFonts w:ascii="Arial" w:hAnsi="Arial" w:cs="Arial"/>
          <w:sz w:val="22"/>
          <w:szCs w:val="22"/>
        </w:rPr>
        <w:t>9</w:t>
      </w:r>
      <w:r w:rsidR="00BA2FFB" w:rsidRPr="00E42BAB">
        <w:rPr>
          <w:rFonts w:ascii="Arial" w:hAnsi="Arial" w:cs="Arial"/>
          <w:sz w:val="22"/>
          <w:szCs w:val="22"/>
        </w:rPr>
        <w:t>,</w:t>
      </w:r>
      <w:r w:rsidR="000A455F" w:rsidRPr="00E42BAB">
        <w:rPr>
          <w:rFonts w:ascii="Arial" w:hAnsi="Arial" w:cs="Arial"/>
          <w:sz w:val="22"/>
          <w:szCs w:val="22"/>
        </w:rPr>
        <w:t>9</w:t>
      </w:r>
      <w:r w:rsidR="00C90630" w:rsidRPr="00E42BAB">
        <w:rPr>
          <w:rFonts w:ascii="Arial" w:hAnsi="Arial" w:cs="Arial"/>
          <w:sz w:val="22"/>
          <w:szCs w:val="22"/>
        </w:rPr>
        <w:t>%</w:t>
      </w:r>
      <w:r w:rsidR="00231001" w:rsidRPr="00E42BAB">
        <w:rPr>
          <w:rFonts w:ascii="Arial" w:hAnsi="Arial" w:cs="Arial"/>
          <w:sz w:val="22"/>
          <w:szCs w:val="22"/>
        </w:rPr>
        <w:t>) (</w:t>
      </w:r>
      <w:r w:rsidR="00DB61DA" w:rsidRPr="00E42BAB">
        <w:rPr>
          <w:rFonts w:ascii="Arial" w:hAnsi="Arial" w:cs="Arial"/>
          <w:sz w:val="22"/>
          <w:szCs w:val="22"/>
        </w:rPr>
        <w:t xml:space="preserve">Figura </w:t>
      </w:r>
      <w:r w:rsidR="00C74129">
        <w:rPr>
          <w:rFonts w:ascii="Arial" w:hAnsi="Arial" w:cs="Arial"/>
          <w:sz w:val="22"/>
          <w:szCs w:val="22"/>
        </w:rPr>
        <w:t>4</w:t>
      </w:r>
      <w:r w:rsidR="00C90630" w:rsidRPr="00E42BAB">
        <w:rPr>
          <w:rFonts w:ascii="Arial" w:hAnsi="Arial" w:cs="Arial"/>
          <w:sz w:val="22"/>
          <w:szCs w:val="22"/>
        </w:rPr>
        <w:t>)</w:t>
      </w:r>
      <w:r w:rsidR="001257BA" w:rsidRPr="00E42BAB">
        <w:rPr>
          <w:rFonts w:ascii="Arial" w:hAnsi="Arial" w:cs="Arial"/>
          <w:sz w:val="22"/>
          <w:szCs w:val="22"/>
        </w:rPr>
        <w:t>.</w:t>
      </w:r>
    </w:p>
    <w:p w14:paraId="5E4C040F" w14:textId="149AC5E6" w:rsidR="00BA2FFB" w:rsidRPr="00E42BAB" w:rsidRDefault="00BA2FFB" w:rsidP="00231001">
      <w:pPr>
        <w:spacing w:after="120"/>
        <w:jc w:val="both"/>
        <w:outlineLvl w:val="0"/>
        <w:rPr>
          <w:rFonts w:ascii="Arial" w:hAnsi="Arial" w:cs="Arial"/>
          <w:sz w:val="22"/>
          <w:szCs w:val="22"/>
        </w:rPr>
      </w:pPr>
      <w:r w:rsidRPr="00E42BAB">
        <w:rPr>
          <w:rFonts w:ascii="Arial" w:hAnsi="Arial" w:cs="Arial"/>
          <w:sz w:val="22"/>
          <w:szCs w:val="22"/>
        </w:rPr>
        <w:t>Considerando i tassi per 10</w:t>
      </w:r>
      <w:r w:rsidR="00617C01" w:rsidRPr="00E42BAB">
        <w:rPr>
          <w:rFonts w:ascii="Arial" w:hAnsi="Arial" w:cs="Arial"/>
          <w:sz w:val="22"/>
          <w:szCs w:val="22"/>
        </w:rPr>
        <w:t>0mila</w:t>
      </w:r>
      <w:r w:rsidRPr="00E42BAB">
        <w:rPr>
          <w:rFonts w:ascii="Arial" w:hAnsi="Arial" w:cs="Arial"/>
          <w:sz w:val="22"/>
          <w:szCs w:val="22"/>
        </w:rPr>
        <w:t xml:space="preserve"> residenti</w:t>
      </w:r>
      <w:r w:rsidR="00787626" w:rsidRPr="00E42BAB">
        <w:rPr>
          <w:rFonts w:ascii="Arial" w:hAnsi="Arial" w:cs="Arial"/>
          <w:sz w:val="22"/>
          <w:szCs w:val="22"/>
        </w:rPr>
        <w:t xml:space="preserve">, </w:t>
      </w:r>
      <w:r w:rsidR="00A54AB2">
        <w:rPr>
          <w:rFonts w:ascii="Arial" w:hAnsi="Arial" w:cs="Arial"/>
          <w:sz w:val="22"/>
          <w:szCs w:val="22"/>
        </w:rPr>
        <w:t xml:space="preserve">a livello nazionale il valore è di 4,8 mentre nel Mezzogiorno è all’incirca la metà. </w:t>
      </w:r>
      <w:r w:rsidR="004338AF">
        <w:rPr>
          <w:rFonts w:ascii="Arial" w:hAnsi="Arial" w:cs="Arial"/>
          <w:sz w:val="22"/>
          <w:szCs w:val="22"/>
        </w:rPr>
        <w:t xml:space="preserve">La </w:t>
      </w:r>
      <w:r w:rsidR="000A455F" w:rsidRPr="00E42BAB">
        <w:rPr>
          <w:rFonts w:ascii="Arial" w:hAnsi="Arial" w:cs="Arial"/>
          <w:sz w:val="22"/>
          <w:szCs w:val="22"/>
        </w:rPr>
        <w:t>Liguria</w:t>
      </w:r>
      <w:r w:rsidR="00787626" w:rsidRPr="00E42BAB">
        <w:rPr>
          <w:rFonts w:ascii="Arial" w:hAnsi="Arial" w:cs="Arial"/>
          <w:sz w:val="22"/>
          <w:szCs w:val="22"/>
        </w:rPr>
        <w:t xml:space="preserve"> si colloca al primo posto </w:t>
      </w:r>
      <w:r w:rsidR="00CB78B1">
        <w:rPr>
          <w:rFonts w:ascii="Arial" w:hAnsi="Arial" w:cs="Arial"/>
          <w:sz w:val="22"/>
          <w:szCs w:val="22"/>
        </w:rPr>
        <w:t xml:space="preserve">tra le regioni </w:t>
      </w:r>
      <w:r w:rsidR="00787626" w:rsidRPr="00E42BAB">
        <w:rPr>
          <w:rFonts w:ascii="Arial" w:hAnsi="Arial" w:cs="Arial"/>
          <w:sz w:val="22"/>
          <w:szCs w:val="22"/>
        </w:rPr>
        <w:t>(</w:t>
      </w:r>
      <w:r w:rsidR="000A455F" w:rsidRPr="00E42BAB">
        <w:rPr>
          <w:rFonts w:ascii="Arial" w:hAnsi="Arial" w:cs="Arial"/>
          <w:sz w:val="22"/>
          <w:szCs w:val="22"/>
        </w:rPr>
        <w:t>7</w:t>
      </w:r>
      <w:r w:rsidR="00787626" w:rsidRPr="00E42BAB">
        <w:rPr>
          <w:rFonts w:ascii="Arial" w:hAnsi="Arial" w:cs="Arial"/>
          <w:sz w:val="22"/>
          <w:szCs w:val="22"/>
        </w:rPr>
        <w:t>,</w:t>
      </w:r>
      <w:r w:rsidR="001257BA" w:rsidRPr="00E42BAB">
        <w:rPr>
          <w:rFonts w:ascii="Arial" w:hAnsi="Arial" w:cs="Arial"/>
          <w:sz w:val="22"/>
          <w:szCs w:val="22"/>
        </w:rPr>
        <w:t>6</w:t>
      </w:r>
      <w:r w:rsidR="00787626" w:rsidRPr="00E42BAB">
        <w:rPr>
          <w:rFonts w:ascii="Arial" w:hAnsi="Arial" w:cs="Arial"/>
          <w:sz w:val="22"/>
          <w:szCs w:val="22"/>
        </w:rPr>
        <w:t xml:space="preserve"> per 100</w:t>
      </w:r>
      <w:r w:rsidR="00617C01" w:rsidRPr="00E42BAB">
        <w:rPr>
          <w:rFonts w:ascii="Arial" w:hAnsi="Arial" w:cs="Arial"/>
          <w:sz w:val="22"/>
          <w:szCs w:val="22"/>
        </w:rPr>
        <w:t>mila</w:t>
      </w:r>
      <w:r w:rsidR="00787626" w:rsidRPr="00E42BAB">
        <w:rPr>
          <w:rFonts w:ascii="Arial" w:hAnsi="Arial" w:cs="Arial"/>
          <w:sz w:val="22"/>
          <w:szCs w:val="22"/>
        </w:rPr>
        <w:t>)</w:t>
      </w:r>
      <w:r w:rsidR="00C046D9" w:rsidRPr="00E42BAB">
        <w:rPr>
          <w:rFonts w:ascii="Arial" w:hAnsi="Arial" w:cs="Arial"/>
          <w:sz w:val="22"/>
          <w:szCs w:val="22"/>
        </w:rPr>
        <w:t xml:space="preserve"> </w:t>
      </w:r>
      <w:r w:rsidR="001257BA" w:rsidRPr="00E42BAB">
        <w:rPr>
          <w:rFonts w:ascii="Arial" w:hAnsi="Arial" w:cs="Arial"/>
          <w:sz w:val="22"/>
          <w:szCs w:val="22"/>
        </w:rPr>
        <w:t>seguit</w:t>
      </w:r>
      <w:r w:rsidR="00DE3AF5" w:rsidRPr="00E42BAB">
        <w:rPr>
          <w:rFonts w:ascii="Arial" w:hAnsi="Arial" w:cs="Arial"/>
          <w:sz w:val="22"/>
          <w:szCs w:val="22"/>
        </w:rPr>
        <w:t>a</w:t>
      </w:r>
      <w:r w:rsidR="001257BA" w:rsidRPr="00E42BAB">
        <w:rPr>
          <w:rFonts w:ascii="Arial" w:hAnsi="Arial" w:cs="Arial"/>
          <w:sz w:val="22"/>
          <w:szCs w:val="22"/>
        </w:rPr>
        <w:t xml:space="preserve"> </w:t>
      </w:r>
      <w:r w:rsidR="000A455F" w:rsidRPr="00E42BAB">
        <w:rPr>
          <w:rFonts w:ascii="Arial" w:hAnsi="Arial" w:cs="Arial"/>
          <w:sz w:val="22"/>
          <w:szCs w:val="22"/>
        </w:rPr>
        <w:t xml:space="preserve">dalla Toscana (7,1) e </w:t>
      </w:r>
      <w:r w:rsidR="001257BA" w:rsidRPr="00E42BAB">
        <w:rPr>
          <w:rFonts w:ascii="Arial" w:hAnsi="Arial" w:cs="Arial"/>
          <w:sz w:val="22"/>
          <w:szCs w:val="22"/>
        </w:rPr>
        <w:t>dal Lazio</w:t>
      </w:r>
      <w:r w:rsidR="00C90630" w:rsidRPr="00E42BAB">
        <w:rPr>
          <w:rFonts w:ascii="Arial" w:hAnsi="Arial" w:cs="Arial"/>
          <w:sz w:val="22"/>
          <w:szCs w:val="22"/>
        </w:rPr>
        <w:t xml:space="preserve"> (</w:t>
      </w:r>
      <w:r w:rsidR="000A455F" w:rsidRPr="00E42BAB">
        <w:rPr>
          <w:rFonts w:ascii="Arial" w:hAnsi="Arial" w:cs="Arial"/>
          <w:sz w:val="22"/>
          <w:szCs w:val="22"/>
        </w:rPr>
        <w:t>6</w:t>
      </w:r>
      <w:r w:rsidR="00C90630" w:rsidRPr="00E42BAB">
        <w:rPr>
          <w:rFonts w:ascii="Arial" w:hAnsi="Arial" w:cs="Arial"/>
          <w:sz w:val="22"/>
          <w:szCs w:val="22"/>
        </w:rPr>
        <w:t>,</w:t>
      </w:r>
      <w:r w:rsidR="000A455F" w:rsidRPr="00E42BAB">
        <w:rPr>
          <w:rFonts w:ascii="Arial" w:hAnsi="Arial" w:cs="Arial"/>
          <w:sz w:val="22"/>
          <w:szCs w:val="22"/>
        </w:rPr>
        <w:t>8)</w:t>
      </w:r>
      <w:r w:rsidR="001257BA" w:rsidRPr="00E42BAB">
        <w:rPr>
          <w:rFonts w:ascii="Arial" w:hAnsi="Arial" w:cs="Arial"/>
          <w:sz w:val="22"/>
          <w:szCs w:val="22"/>
        </w:rPr>
        <w:t>.</w:t>
      </w:r>
    </w:p>
    <w:p w14:paraId="7F8FCE35" w14:textId="1C80AABF" w:rsidR="0089404A" w:rsidRPr="00E42BAB" w:rsidRDefault="000F7E7C" w:rsidP="00231001">
      <w:pPr>
        <w:spacing w:after="120"/>
        <w:jc w:val="both"/>
        <w:outlineLvl w:val="0"/>
        <w:rPr>
          <w:rFonts w:ascii="Arial" w:hAnsi="Arial" w:cs="Arial"/>
          <w:sz w:val="22"/>
          <w:szCs w:val="22"/>
        </w:rPr>
      </w:pPr>
      <w:r w:rsidRPr="00E42BAB">
        <w:rPr>
          <w:rFonts w:ascii="Arial" w:hAnsi="Arial" w:cs="Arial"/>
          <w:sz w:val="22"/>
          <w:szCs w:val="22"/>
        </w:rPr>
        <w:t>E</w:t>
      </w:r>
      <w:r w:rsidR="00EC1F1D" w:rsidRPr="00E42BAB">
        <w:rPr>
          <w:rFonts w:ascii="Arial" w:hAnsi="Arial" w:cs="Arial"/>
          <w:sz w:val="22"/>
          <w:szCs w:val="22"/>
        </w:rPr>
        <w:t>merge</w:t>
      </w:r>
      <w:r w:rsidR="0089404A" w:rsidRPr="00E42BAB">
        <w:rPr>
          <w:rFonts w:ascii="Arial" w:hAnsi="Arial" w:cs="Arial"/>
          <w:sz w:val="22"/>
          <w:szCs w:val="22"/>
        </w:rPr>
        <w:t xml:space="preserve"> con evidenza</w:t>
      </w:r>
      <w:r w:rsidR="0057122E" w:rsidRPr="00E42BAB">
        <w:rPr>
          <w:rFonts w:ascii="Arial" w:hAnsi="Arial" w:cs="Arial"/>
          <w:sz w:val="22"/>
          <w:szCs w:val="22"/>
        </w:rPr>
        <w:t xml:space="preserve"> il ruolo attrattivo dei grandi comuni: più di un quarto delle unioni si sono costituite nel complesso dei 12 grandi comuni</w:t>
      </w:r>
      <w:r w:rsidR="00FC2DDA" w:rsidRPr="00E42BAB">
        <w:rPr>
          <w:rFonts w:ascii="Arial" w:hAnsi="Arial" w:cs="Arial"/>
          <w:sz w:val="22"/>
          <w:szCs w:val="22"/>
        </w:rPr>
        <w:t xml:space="preserve">. </w:t>
      </w:r>
      <w:r w:rsidR="0057122E" w:rsidRPr="00E42BAB">
        <w:rPr>
          <w:rFonts w:ascii="Arial" w:hAnsi="Arial" w:cs="Arial"/>
          <w:sz w:val="22"/>
          <w:szCs w:val="22"/>
        </w:rPr>
        <w:t xml:space="preserve">In testa </w:t>
      </w:r>
      <w:r w:rsidR="00CB78B1">
        <w:rPr>
          <w:rFonts w:ascii="Arial" w:hAnsi="Arial" w:cs="Arial"/>
          <w:sz w:val="22"/>
          <w:szCs w:val="22"/>
        </w:rPr>
        <w:t xml:space="preserve">si </w:t>
      </w:r>
      <w:r w:rsidR="0057122E" w:rsidRPr="00E42BAB">
        <w:rPr>
          <w:rFonts w:ascii="Arial" w:hAnsi="Arial" w:cs="Arial"/>
          <w:sz w:val="22"/>
          <w:szCs w:val="22"/>
        </w:rPr>
        <w:t>trova il comune di Roma (con l’</w:t>
      </w:r>
      <w:r w:rsidR="00467616" w:rsidRPr="00E42BAB">
        <w:rPr>
          <w:rFonts w:ascii="Arial" w:hAnsi="Arial" w:cs="Arial"/>
          <w:sz w:val="22"/>
          <w:szCs w:val="22"/>
        </w:rPr>
        <w:t>8</w:t>
      </w:r>
      <w:r w:rsidR="00C046D9" w:rsidRPr="00E42BAB">
        <w:rPr>
          <w:rFonts w:ascii="Arial" w:hAnsi="Arial" w:cs="Arial"/>
          <w:sz w:val="22"/>
          <w:szCs w:val="22"/>
        </w:rPr>
        <w:t>,</w:t>
      </w:r>
      <w:r w:rsidR="00570AA1" w:rsidRPr="00E42BAB">
        <w:rPr>
          <w:rFonts w:ascii="Arial" w:hAnsi="Arial" w:cs="Arial"/>
          <w:sz w:val="22"/>
          <w:szCs w:val="22"/>
        </w:rPr>
        <w:t>6</w:t>
      </w:r>
      <w:r w:rsidR="00C046D9" w:rsidRPr="00E42BAB">
        <w:rPr>
          <w:rFonts w:ascii="Arial" w:hAnsi="Arial" w:cs="Arial"/>
          <w:sz w:val="22"/>
          <w:szCs w:val="22"/>
        </w:rPr>
        <w:t>%</w:t>
      </w:r>
      <w:r w:rsidR="0057122E" w:rsidRPr="00E42BAB">
        <w:rPr>
          <w:rFonts w:ascii="Arial" w:hAnsi="Arial" w:cs="Arial"/>
          <w:sz w:val="22"/>
          <w:szCs w:val="22"/>
        </w:rPr>
        <w:t>)</w:t>
      </w:r>
      <w:r w:rsidR="000A1B97">
        <w:rPr>
          <w:rFonts w:ascii="Arial" w:hAnsi="Arial" w:cs="Arial"/>
          <w:sz w:val="22"/>
          <w:szCs w:val="22"/>
        </w:rPr>
        <w:t>,</w:t>
      </w:r>
      <w:r w:rsidR="00C046D9" w:rsidRPr="00E42BAB">
        <w:rPr>
          <w:rFonts w:ascii="Arial" w:hAnsi="Arial" w:cs="Arial"/>
          <w:sz w:val="22"/>
          <w:szCs w:val="22"/>
        </w:rPr>
        <w:t xml:space="preserve"> </w:t>
      </w:r>
      <w:r w:rsidR="0057122E" w:rsidRPr="00E42BAB">
        <w:rPr>
          <w:rFonts w:ascii="Arial" w:hAnsi="Arial" w:cs="Arial"/>
          <w:sz w:val="22"/>
          <w:szCs w:val="22"/>
        </w:rPr>
        <w:t>seguito da quello di Milano</w:t>
      </w:r>
      <w:r w:rsidR="00FC2DDA" w:rsidRPr="00E42BAB">
        <w:rPr>
          <w:rFonts w:ascii="Arial" w:hAnsi="Arial" w:cs="Arial"/>
          <w:sz w:val="22"/>
          <w:szCs w:val="22"/>
        </w:rPr>
        <w:t xml:space="preserve"> </w:t>
      </w:r>
      <w:r w:rsidR="0057122E" w:rsidRPr="00E42BAB">
        <w:rPr>
          <w:rFonts w:ascii="Arial" w:hAnsi="Arial" w:cs="Arial"/>
          <w:sz w:val="22"/>
          <w:szCs w:val="22"/>
        </w:rPr>
        <w:t>(</w:t>
      </w:r>
      <w:r w:rsidR="00570AA1" w:rsidRPr="00E42BAB">
        <w:rPr>
          <w:rFonts w:ascii="Arial" w:hAnsi="Arial" w:cs="Arial"/>
          <w:sz w:val="22"/>
          <w:szCs w:val="22"/>
        </w:rPr>
        <w:t>5</w:t>
      </w:r>
      <w:r w:rsidR="00C046D9" w:rsidRPr="00E42BAB">
        <w:rPr>
          <w:rFonts w:ascii="Arial" w:hAnsi="Arial" w:cs="Arial"/>
          <w:sz w:val="22"/>
          <w:szCs w:val="22"/>
        </w:rPr>
        <w:t>,</w:t>
      </w:r>
      <w:r w:rsidR="00570AA1" w:rsidRPr="00E42BAB">
        <w:rPr>
          <w:rFonts w:ascii="Arial" w:hAnsi="Arial" w:cs="Arial"/>
          <w:sz w:val="22"/>
          <w:szCs w:val="22"/>
        </w:rPr>
        <w:t>9</w:t>
      </w:r>
      <w:r w:rsidR="00C046D9" w:rsidRPr="00E42BAB">
        <w:rPr>
          <w:rFonts w:ascii="Arial" w:hAnsi="Arial" w:cs="Arial"/>
          <w:sz w:val="22"/>
          <w:szCs w:val="22"/>
        </w:rPr>
        <w:t>%</w:t>
      </w:r>
      <w:r w:rsidR="0057122E" w:rsidRPr="00E42BAB">
        <w:rPr>
          <w:rFonts w:ascii="Arial" w:hAnsi="Arial" w:cs="Arial"/>
          <w:sz w:val="22"/>
          <w:szCs w:val="22"/>
        </w:rPr>
        <w:t>)</w:t>
      </w:r>
      <w:r w:rsidR="00FC2DDA" w:rsidRPr="00E42BAB">
        <w:rPr>
          <w:rFonts w:ascii="Arial" w:hAnsi="Arial" w:cs="Arial"/>
          <w:sz w:val="22"/>
          <w:szCs w:val="22"/>
        </w:rPr>
        <w:t>.</w:t>
      </w:r>
    </w:p>
    <w:p w14:paraId="1F9B0DA0" w14:textId="5465BDC6" w:rsidR="00787626" w:rsidRPr="00E42BAB" w:rsidRDefault="00787626" w:rsidP="00231001">
      <w:pPr>
        <w:spacing w:after="120"/>
        <w:jc w:val="both"/>
        <w:outlineLvl w:val="0"/>
        <w:rPr>
          <w:rFonts w:ascii="Arial" w:hAnsi="Arial" w:cs="Arial"/>
          <w:sz w:val="22"/>
          <w:szCs w:val="22"/>
        </w:rPr>
      </w:pPr>
      <w:r w:rsidRPr="00E42BAB">
        <w:rPr>
          <w:rFonts w:ascii="Arial" w:hAnsi="Arial" w:cs="Arial"/>
          <w:sz w:val="22"/>
          <w:szCs w:val="22"/>
        </w:rPr>
        <w:t>Si conferma anche nel 20</w:t>
      </w:r>
      <w:r w:rsidR="00C90630" w:rsidRPr="00E42BAB">
        <w:rPr>
          <w:rFonts w:ascii="Arial" w:hAnsi="Arial" w:cs="Arial"/>
          <w:sz w:val="22"/>
          <w:szCs w:val="22"/>
        </w:rPr>
        <w:t>2</w:t>
      </w:r>
      <w:r w:rsidR="00A30658">
        <w:rPr>
          <w:rFonts w:ascii="Arial" w:hAnsi="Arial" w:cs="Arial"/>
          <w:sz w:val="22"/>
          <w:szCs w:val="22"/>
        </w:rPr>
        <w:t>2</w:t>
      </w:r>
      <w:r w:rsidRPr="00E42BAB">
        <w:rPr>
          <w:rFonts w:ascii="Arial" w:hAnsi="Arial" w:cs="Arial"/>
          <w:sz w:val="22"/>
          <w:szCs w:val="22"/>
        </w:rPr>
        <w:t xml:space="preserve"> la prevalenza di </w:t>
      </w:r>
      <w:r w:rsidR="00A46F64" w:rsidRPr="00E42BAB">
        <w:rPr>
          <w:rFonts w:ascii="Arial" w:hAnsi="Arial" w:cs="Arial"/>
          <w:sz w:val="22"/>
          <w:szCs w:val="22"/>
        </w:rPr>
        <w:t>unioni tra</w:t>
      </w:r>
      <w:r w:rsidRPr="00E42BAB">
        <w:rPr>
          <w:rFonts w:ascii="Arial" w:hAnsi="Arial" w:cs="Arial"/>
          <w:sz w:val="22"/>
          <w:szCs w:val="22"/>
        </w:rPr>
        <w:t xml:space="preserve"> uomini (</w:t>
      </w:r>
      <w:r w:rsidR="00C1319B" w:rsidRPr="00E42BAB">
        <w:rPr>
          <w:rFonts w:ascii="Arial" w:hAnsi="Arial" w:cs="Arial"/>
          <w:sz w:val="22"/>
          <w:szCs w:val="22"/>
        </w:rPr>
        <w:t>1.</w:t>
      </w:r>
      <w:r w:rsidR="00DC45A0" w:rsidRPr="00E42BAB">
        <w:rPr>
          <w:rFonts w:ascii="Arial" w:hAnsi="Arial" w:cs="Arial"/>
          <w:sz w:val="22"/>
          <w:szCs w:val="22"/>
        </w:rPr>
        <w:t>594</w:t>
      </w:r>
      <w:r w:rsidRPr="00E42BAB">
        <w:rPr>
          <w:rFonts w:ascii="Arial" w:hAnsi="Arial" w:cs="Arial"/>
          <w:sz w:val="22"/>
          <w:szCs w:val="22"/>
        </w:rPr>
        <w:t xml:space="preserve"> unioni, il </w:t>
      </w:r>
      <w:r w:rsidR="00C1319B" w:rsidRPr="00E42BAB">
        <w:rPr>
          <w:rFonts w:ascii="Arial" w:hAnsi="Arial" w:cs="Arial"/>
          <w:sz w:val="22"/>
          <w:szCs w:val="22"/>
        </w:rPr>
        <w:t>5</w:t>
      </w:r>
      <w:r w:rsidR="00DC45A0" w:rsidRPr="00E42BAB">
        <w:rPr>
          <w:rFonts w:ascii="Arial" w:hAnsi="Arial" w:cs="Arial"/>
          <w:sz w:val="22"/>
          <w:szCs w:val="22"/>
        </w:rPr>
        <w:t>6</w:t>
      </w:r>
      <w:r w:rsidRPr="00E42BAB">
        <w:rPr>
          <w:rFonts w:ascii="Arial" w:hAnsi="Arial" w:cs="Arial"/>
          <w:sz w:val="22"/>
          <w:szCs w:val="22"/>
        </w:rPr>
        <w:t>,</w:t>
      </w:r>
      <w:r w:rsidR="00DC45A0" w:rsidRPr="00E42BAB">
        <w:rPr>
          <w:rFonts w:ascii="Arial" w:hAnsi="Arial" w:cs="Arial"/>
          <w:sz w:val="22"/>
          <w:szCs w:val="22"/>
        </w:rPr>
        <w:t>7</w:t>
      </w:r>
      <w:r w:rsidRPr="00E42BAB">
        <w:rPr>
          <w:rFonts w:ascii="Arial" w:hAnsi="Arial" w:cs="Arial"/>
          <w:sz w:val="22"/>
          <w:szCs w:val="22"/>
        </w:rPr>
        <w:t>% del totale),</w:t>
      </w:r>
      <w:r w:rsidR="00C90630" w:rsidRPr="00E42BAB">
        <w:rPr>
          <w:rFonts w:ascii="Arial" w:hAnsi="Arial" w:cs="Arial"/>
          <w:sz w:val="22"/>
          <w:szCs w:val="22"/>
        </w:rPr>
        <w:t xml:space="preserve"> </w:t>
      </w:r>
      <w:r w:rsidR="00DC45A0" w:rsidRPr="00E42BAB">
        <w:rPr>
          <w:rFonts w:ascii="Arial" w:hAnsi="Arial" w:cs="Arial"/>
          <w:sz w:val="22"/>
          <w:szCs w:val="22"/>
        </w:rPr>
        <w:t xml:space="preserve">stabili rispetto all’anno precedente </w:t>
      </w:r>
      <w:r w:rsidR="00DE3AF5" w:rsidRPr="00E42BAB">
        <w:rPr>
          <w:rFonts w:ascii="Arial" w:hAnsi="Arial" w:cs="Arial"/>
          <w:sz w:val="22"/>
          <w:szCs w:val="22"/>
        </w:rPr>
        <w:t>(</w:t>
      </w:r>
      <w:r w:rsidR="00DC45A0" w:rsidRPr="00E42BAB">
        <w:rPr>
          <w:rFonts w:ascii="Arial" w:hAnsi="Arial" w:cs="Arial"/>
          <w:sz w:val="22"/>
          <w:szCs w:val="22"/>
        </w:rPr>
        <w:t>57</w:t>
      </w:r>
      <w:r w:rsidR="00DE3AF5" w:rsidRPr="00E42BAB">
        <w:rPr>
          <w:rFonts w:ascii="Arial" w:hAnsi="Arial" w:cs="Arial"/>
          <w:sz w:val="22"/>
          <w:szCs w:val="22"/>
        </w:rPr>
        <w:t>,</w:t>
      </w:r>
      <w:r w:rsidR="00DC45A0" w:rsidRPr="00E42BAB">
        <w:rPr>
          <w:rFonts w:ascii="Arial" w:hAnsi="Arial" w:cs="Arial"/>
          <w:sz w:val="22"/>
          <w:szCs w:val="22"/>
        </w:rPr>
        <w:t>0</w:t>
      </w:r>
      <w:r w:rsidR="00DE3AF5" w:rsidRPr="00E42BAB">
        <w:rPr>
          <w:rFonts w:ascii="Arial" w:hAnsi="Arial" w:cs="Arial"/>
          <w:sz w:val="22"/>
          <w:szCs w:val="22"/>
        </w:rPr>
        <w:t>%).</w:t>
      </w:r>
      <w:r w:rsidRPr="00E42BAB">
        <w:rPr>
          <w:rFonts w:ascii="Arial" w:hAnsi="Arial" w:cs="Arial"/>
          <w:sz w:val="22"/>
          <w:szCs w:val="22"/>
        </w:rPr>
        <w:t xml:space="preserve"> </w:t>
      </w:r>
      <w:r w:rsidR="00DE3AF5" w:rsidRPr="00E42BAB">
        <w:rPr>
          <w:rFonts w:ascii="Arial" w:hAnsi="Arial" w:cs="Arial"/>
          <w:sz w:val="22"/>
          <w:szCs w:val="22"/>
        </w:rPr>
        <w:t xml:space="preserve">La ripartizione </w:t>
      </w:r>
      <w:r w:rsidR="00455880" w:rsidRPr="00E42BAB">
        <w:rPr>
          <w:rFonts w:ascii="Arial" w:hAnsi="Arial" w:cs="Arial"/>
          <w:sz w:val="22"/>
          <w:szCs w:val="22"/>
        </w:rPr>
        <w:t xml:space="preserve">con la più </w:t>
      </w:r>
      <w:r w:rsidR="00C902AA" w:rsidRPr="00E42BAB">
        <w:rPr>
          <w:rFonts w:ascii="Arial" w:hAnsi="Arial" w:cs="Arial"/>
          <w:sz w:val="22"/>
          <w:szCs w:val="22"/>
        </w:rPr>
        <w:t>alta</w:t>
      </w:r>
      <w:r w:rsidR="00455880" w:rsidRPr="00E42BAB">
        <w:rPr>
          <w:rFonts w:ascii="Arial" w:hAnsi="Arial" w:cs="Arial"/>
          <w:sz w:val="22"/>
          <w:szCs w:val="22"/>
        </w:rPr>
        <w:t xml:space="preserve"> incidenza delle unioni tra </w:t>
      </w:r>
      <w:r w:rsidR="00DE3AF5" w:rsidRPr="00E42BAB">
        <w:rPr>
          <w:rFonts w:ascii="Arial" w:hAnsi="Arial" w:cs="Arial"/>
          <w:sz w:val="22"/>
          <w:szCs w:val="22"/>
        </w:rPr>
        <w:t xml:space="preserve">uomini è il </w:t>
      </w:r>
      <w:r w:rsidR="00DC45A0" w:rsidRPr="00E42BAB">
        <w:rPr>
          <w:rFonts w:ascii="Arial" w:hAnsi="Arial" w:cs="Arial"/>
          <w:sz w:val="22"/>
          <w:szCs w:val="22"/>
        </w:rPr>
        <w:t>Nord-ovest</w:t>
      </w:r>
      <w:r w:rsidR="00DE3AF5" w:rsidRPr="00E42BAB">
        <w:rPr>
          <w:rFonts w:ascii="Arial" w:hAnsi="Arial" w:cs="Arial"/>
          <w:sz w:val="22"/>
          <w:szCs w:val="22"/>
        </w:rPr>
        <w:t xml:space="preserve"> (5</w:t>
      </w:r>
      <w:r w:rsidR="00DC45A0" w:rsidRPr="00E42BAB">
        <w:rPr>
          <w:rFonts w:ascii="Arial" w:hAnsi="Arial" w:cs="Arial"/>
          <w:sz w:val="22"/>
          <w:szCs w:val="22"/>
        </w:rPr>
        <w:t>7</w:t>
      </w:r>
      <w:r w:rsidR="00DE3AF5" w:rsidRPr="00E42BAB">
        <w:rPr>
          <w:rFonts w:ascii="Arial" w:hAnsi="Arial" w:cs="Arial"/>
          <w:sz w:val="22"/>
          <w:szCs w:val="22"/>
        </w:rPr>
        <w:t>,</w:t>
      </w:r>
      <w:r w:rsidR="00DC45A0" w:rsidRPr="00E42BAB">
        <w:rPr>
          <w:rFonts w:ascii="Arial" w:hAnsi="Arial" w:cs="Arial"/>
          <w:sz w:val="22"/>
          <w:szCs w:val="22"/>
        </w:rPr>
        <w:t>9</w:t>
      </w:r>
      <w:r w:rsidR="00DE3AF5" w:rsidRPr="00E42BAB">
        <w:rPr>
          <w:rFonts w:ascii="Arial" w:hAnsi="Arial" w:cs="Arial"/>
          <w:sz w:val="22"/>
          <w:szCs w:val="22"/>
        </w:rPr>
        <w:t xml:space="preserve">%) mentre </w:t>
      </w:r>
      <w:r w:rsidR="00C902AA" w:rsidRPr="00E42BAB">
        <w:rPr>
          <w:rFonts w:ascii="Arial" w:hAnsi="Arial" w:cs="Arial"/>
          <w:sz w:val="22"/>
          <w:szCs w:val="22"/>
        </w:rPr>
        <w:t>quella</w:t>
      </w:r>
      <w:r w:rsidR="00570AA1" w:rsidRPr="00E42BAB">
        <w:rPr>
          <w:rFonts w:ascii="Arial" w:hAnsi="Arial" w:cs="Arial"/>
          <w:sz w:val="22"/>
          <w:szCs w:val="22"/>
        </w:rPr>
        <w:t xml:space="preserve"> con la quota p</w:t>
      </w:r>
      <w:r w:rsidR="00C902AA" w:rsidRPr="00E42BAB">
        <w:rPr>
          <w:rFonts w:ascii="Arial" w:hAnsi="Arial" w:cs="Arial"/>
          <w:sz w:val="22"/>
          <w:szCs w:val="22"/>
        </w:rPr>
        <w:t>iù bassa è il Sud</w:t>
      </w:r>
      <w:r w:rsidR="00DE3AF5" w:rsidRPr="00E42BAB">
        <w:rPr>
          <w:rFonts w:ascii="Arial" w:hAnsi="Arial" w:cs="Arial"/>
          <w:sz w:val="22"/>
          <w:szCs w:val="22"/>
        </w:rPr>
        <w:t xml:space="preserve"> (</w:t>
      </w:r>
      <w:r w:rsidR="00C902AA" w:rsidRPr="00E42BAB">
        <w:rPr>
          <w:rFonts w:ascii="Arial" w:hAnsi="Arial" w:cs="Arial"/>
          <w:sz w:val="22"/>
          <w:szCs w:val="22"/>
        </w:rPr>
        <w:t>51</w:t>
      </w:r>
      <w:r w:rsidR="00DE3AF5" w:rsidRPr="00E42BAB">
        <w:rPr>
          <w:rFonts w:ascii="Arial" w:hAnsi="Arial" w:cs="Arial"/>
          <w:sz w:val="22"/>
          <w:szCs w:val="22"/>
        </w:rPr>
        <w:t>,</w:t>
      </w:r>
      <w:r w:rsidR="00C902AA" w:rsidRPr="00E42BAB">
        <w:rPr>
          <w:rFonts w:ascii="Arial" w:hAnsi="Arial" w:cs="Arial"/>
          <w:sz w:val="22"/>
          <w:szCs w:val="22"/>
        </w:rPr>
        <w:t>4</w:t>
      </w:r>
      <w:r w:rsidR="00DE3AF5" w:rsidRPr="00E42BAB">
        <w:rPr>
          <w:rFonts w:ascii="Arial" w:hAnsi="Arial" w:cs="Arial"/>
          <w:sz w:val="22"/>
          <w:szCs w:val="22"/>
        </w:rPr>
        <w:t>%).</w:t>
      </w:r>
    </w:p>
    <w:p w14:paraId="41B5DF00" w14:textId="60024178" w:rsidR="00570AA1" w:rsidRDefault="00570AA1" w:rsidP="00231001">
      <w:pPr>
        <w:spacing w:after="120"/>
        <w:jc w:val="both"/>
        <w:outlineLvl w:val="0"/>
        <w:rPr>
          <w:rFonts w:ascii="Arial" w:hAnsi="Arial" w:cs="Arial"/>
          <w:sz w:val="22"/>
          <w:szCs w:val="22"/>
        </w:rPr>
      </w:pPr>
      <w:r w:rsidRPr="00E42BAB">
        <w:rPr>
          <w:rFonts w:ascii="Arial" w:hAnsi="Arial" w:cs="Arial"/>
          <w:sz w:val="22"/>
          <w:szCs w:val="22"/>
        </w:rPr>
        <w:t>Le unioni civili con almeno un</w:t>
      </w:r>
      <w:r w:rsidR="00CB78B1">
        <w:rPr>
          <w:rFonts w:ascii="Arial" w:hAnsi="Arial" w:cs="Arial"/>
          <w:sz w:val="22"/>
          <w:szCs w:val="22"/>
        </w:rPr>
        <w:t xml:space="preserve"> partner</w:t>
      </w:r>
      <w:r w:rsidR="009D7035">
        <w:rPr>
          <w:rFonts w:ascii="Arial" w:hAnsi="Arial" w:cs="Arial"/>
          <w:sz w:val="22"/>
          <w:szCs w:val="22"/>
        </w:rPr>
        <w:t xml:space="preserve"> straniero sono il 17,3%;</w:t>
      </w:r>
      <w:r w:rsidRPr="00E42BAB">
        <w:rPr>
          <w:rFonts w:ascii="Arial" w:hAnsi="Arial" w:cs="Arial"/>
          <w:sz w:val="22"/>
          <w:szCs w:val="22"/>
        </w:rPr>
        <w:t xml:space="preserve"> nel Centro</w:t>
      </w:r>
      <w:r w:rsidR="00A54AB2">
        <w:rPr>
          <w:rFonts w:ascii="Arial" w:hAnsi="Arial" w:cs="Arial"/>
          <w:sz w:val="22"/>
          <w:szCs w:val="22"/>
        </w:rPr>
        <w:t xml:space="preserve"> </w:t>
      </w:r>
      <w:r w:rsidR="00CB78B1">
        <w:rPr>
          <w:rFonts w:ascii="Arial" w:hAnsi="Arial" w:cs="Arial"/>
          <w:sz w:val="22"/>
          <w:szCs w:val="22"/>
        </w:rPr>
        <w:t xml:space="preserve">si attestano al </w:t>
      </w:r>
      <w:r w:rsidR="00CB78B1" w:rsidRPr="00E42BAB">
        <w:rPr>
          <w:rFonts w:ascii="Arial" w:hAnsi="Arial" w:cs="Arial"/>
          <w:sz w:val="22"/>
          <w:szCs w:val="22"/>
        </w:rPr>
        <w:t xml:space="preserve">20,5% </w:t>
      </w:r>
      <w:r w:rsidR="00A54AB2">
        <w:rPr>
          <w:rFonts w:ascii="Arial" w:hAnsi="Arial" w:cs="Arial"/>
          <w:sz w:val="22"/>
          <w:szCs w:val="22"/>
        </w:rPr>
        <w:t>mentre nel Mezzogiorno sono il 15% circa</w:t>
      </w:r>
      <w:r w:rsidRPr="00E42BAB">
        <w:rPr>
          <w:rFonts w:ascii="Arial" w:hAnsi="Arial" w:cs="Arial"/>
          <w:sz w:val="22"/>
          <w:szCs w:val="22"/>
        </w:rPr>
        <w:t>.</w:t>
      </w:r>
    </w:p>
    <w:p w14:paraId="53BFC8B8" w14:textId="77777777" w:rsidR="006E1FE0" w:rsidRDefault="006E1FE0" w:rsidP="00231001">
      <w:pPr>
        <w:spacing w:after="120"/>
        <w:jc w:val="both"/>
        <w:outlineLvl w:val="0"/>
        <w:rPr>
          <w:rFonts w:ascii="Arial" w:hAnsi="Arial" w:cs="Arial"/>
          <w:sz w:val="22"/>
          <w:szCs w:val="22"/>
        </w:rPr>
      </w:pPr>
    </w:p>
    <w:p w14:paraId="4F6C52CB" w14:textId="77777777" w:rsidR="006E1FE0" w:rsidRDefault="006E1FE0" w:rsidP="001928F4">
      <w:pPr>
        <w:jc w:val="both"/>
        <w:outlineLvl w:val="0"/>
        <w:rPr>
          <w:rFonts w:ascii="Arial" w:hAnsi="Arial" w:cs="Arial"/>
          <w:sz w:val="22"/>
          <w:szCs w:val="22"/>
        </w:rPr>
      </w:pPr>
    </w:p>
    <w:p w14:paraId="5DEF6348" w14:textId="77777777" w:rsidR="006E1FE0" w:rsidRPr="009E6EEB" w:rsidRDefault="006E1FE0" w:rsidP="001928F4">
      <w:pPr>
        <w:jc w:val="both"/>
        <w:outlineLvl w:val="0"/>
        <w:rPr>
          <w:rFonts w:ascii="Arial" w:hAnsi="Arial" w:cs="Arial"/>
          <w:sz w:val="22"/>
          <w:szCs w:val="22"/>
        </w:rPr>
      </w:pPr>
    </w:p>
    <w:p w14:paraId="07009F07" w14:textId="16F75230" w:rsidR="00DE19BF" w:rsidRDefault="005056DF" w:rsidP="00A30658">
      <w:pPr>
        <w:autoSpaceDE w:val="0"/>
        <w:autoSpaceDN w:val="0"/>
        <w:adjustRightInd w:val="0"/>
        <w:spacing w:after="120"/>
        <w:jc w:val="both"/>
        <w:rPr>
          <w:rFonts w:ascii="Arial Narrow" w:hAnsi="Arial Narrow" w:cs="Arial"/>
          <w:color w:val="1F497D" w:themeColor="text2"/>
          <w:sz w:val="22"/>
          <w:szCs w:val="22"/>
        </w:rPr>
      </w:pPr>
      <w:r w:rsidRPr="007D109C">
        <w:rPr>
          <w:rFonts w:ascii="Arial Black" w:hAnsi="Arial Black" w:cs="Arial"/>
          <w:iCs/>
          <w:noProof/>
          <w:color w:val="1F497D" w:themeColor="text2"/>
          <w:sz w:val="22"/>
          <w:szCs w:val="22"/>
        </w:rPr>
        <w:t>F</w:t>
      </w:r>
      <w:r w:rsidR="004A2DB4" w:rsidRPr="007D109C">
        <w:rPr>
          <w:rFonts w:ascii="Arial Black" w:hAnsi="Arial Black" w:cs="Arial"/>
          <w:iCs/>
          <w:noProof/>
          <w:color w:val="1F497D" w:themeColor="text2"/>
          <w:sz w:val="22"/>
          <w:szCs w:val="22"/>
        </w:rPr>
        <w:t xml:space="preserve">IGURA </w:t>
      </w:r>
      <w:r w:rsidR="00C74129">
        <w:rPr>
          <w:rFonts w:ascii="Arial Black" w:hAnsi="Arial Black" w:cs="Arial"/>
          <w:iCs/>
          <w:noProof/>
          <w:color w:val="1F497D" w:themeColor="text2"/>
          <w:sz w:val="22"/>
          <w:szCs w:val="22"/>
        </w:rPr>
        <w:t>4</w:t>
      </w:r>
      <w:r w:rsidR="004A2DB4" w:rsidRPr="007D109C">
        <w:rPr>
          <w:rFonts w:ascii="Arial Black" w:hAnsi="Arial Black" w:cs="Arial"/>
          <w:iCs/>
          <w:noProof/>
          <w:color w:val="1F497D" w:themeColor="text2"/>
          <w:sz w:val="22"/>
          <w:szCs w:val="22"/>
        </w:rPr>
        <w:t>.</w:t>
      </w:r>
      <w:r w:rsidR="004A2DB4" w:rsidRPr="007D109C">
        <w:rPr>
          <w:rFonts w:ascii="Arial Narrow" w:hAnsi="Arial Narrow" w:cs="Arial"/>
          <w:b/>
          <w:iCs/>
          <w:noProof/>
          <w:color w:val="1F497D" w:themeColor="text2"/>
          <w:sz w:val="22"/>
          <w:szCs w:val="22"/>
        </w:rPr>
        <w:t xml:space="preserve"> </w:t>
      </w:r>
      <w:r w:rsidR="00E75503" w:rsidRPr="007D109C">
        <w:rPr>
          <w:rFonts w:ascii="Arial Narrow" w:hAnsi="Arial Narrow" w:cs="Arial"/>
          <w:b/>
          <w:iCs/>
          <w:noProof/>
          <w:color w:val="1F497D" w:themeColor="text2"/>
          <w:sz w:val="22"/>
          <w:szCs w:val="22"/>
        </w:rPr>
        <w:t xml:space="preserve">UNIONI CIVILI PER </w:t>
      </w:r>
      <w:r w:rsidR="00C74129">
        <w:rPr>
          <w:rFonts w:ascii="Arial Narrow" w:hAnsi="Arial Narrow" w:cs="Arial"/>
          <w:b/>
          <w:iCs/>
          <w:noProof/>
          <w:color w:val="1F497D" w:themeColor="text2"/>
          <w:sz w:val="22"/>
          <w:szCs w:val="22"/>
        </w:rPr>
        <w:t>SESSO</w:t>
      </w:r>
      <w:r w:rsidR="00C046D9" w:rsidRPr="007D109C">
        <w:rPr>
          <w:rFonts w:ascii="Arial Narrow" w:hAnsi="Arial Narrow" w:cs="Arial"/>
          <w:b/>
          <w:iCs/>
          <w:noProof/>
          <w:color w:val="1F497D" w:themeColor="text2"/>
          <w:sz w:val="22"/>
          <w:szCs w:val="22"/>
        </w:rPr>
        <w:t xml:space="preserve"> </w:t>
      </w:r>
      <w:r w:rsidR="00D34A37" w:rsidRPr="007D109C">
        <w:rPr>
          <w:rFonts w:ascii="Arial Narrow" w:hAnsi="Arial Narrow" w:cs="Arial"/>
          <w:b/>
          <w:iCs/>
          <w:noProof/>
          <w:color w:val="1F497D" w:themeColor="text2"/>
          <w:sz w:val="22"/>
          <w:szCs w:val="22"/>
        </w:rPr>
        <w:t>E REGIONE</w:t>
      </w:r>
      <w:r w:rsidR="00D21671" w:rsidRPr="007D109C">
        <w:rPr>
          <w:rFonts w:ascii="Arial Narrow" w:hAnsi="Arial Narrow" w:cs="Arial"/>
          <w:b/>
          <w:iCs/>
          <w:noProof/>
          <w:color w:val="1F497D" w:themeColor="text2"/>
          <w:sz w:val="22"/>
          <w:szCs w:val="22"/>
        </w:rPr>
        <w:t>.</w:t>
      </w:r>
      <w:r w:rsidR="00E75503" w:rsidRPr="007D109C">
        <w:rPr>
          <w:rFonts w:ascii="Arial Narrow" w:hAnsi="Arial Narrow" w:cs="Arial"/>
          <w:b/>
          <w:iCs/>
          <w:noProof/>
          <w:color w:val="1F497D" w:themeColor="text2"/>
          <w:sz w:val="22"/>
          <w:szCs w:val="22"/>
        </w:rPr>
        <w:t xml:space="preserve"> </w:t>
      </w:r>
      <w:r w:rsidR="007D109C" w:rsidRPr="007D109C">
        <w:rPr>
          <w:rFonts w:ascii="Arial Narrow" w:hAnsi="Arial Narrow" w:cs="Arial"/>
          <w:color w:val="1F497D" w:themeColor="text2"/>
          <w:sz w:val="22"/>
          <w:szCs w:val="22"/>
        </w:rPr>
        <w:t>Anno 20</w:t>
      </w:r>
      <w:r w:rsidR="002D0AB5">
        <w:rPr>
          <w:rFonts w:ascii="Arial Narrow" w:hAnsi="Arial Narrow" w:cs="Arial"/>
          <w:color w:val="1F497D" w:themeColor="text2"/>
          <w:sz w:val="22"/>
          <w:szCs w:val="22"/>
        </w:rPr>
        <w:t>2</w:t>
      </w:r>
      <w:r w:rsidR="00153A99">
        <w:rPr>
          <w:rFonts w:ascii="Arial Narrow" w:hAnsi="Arial Narrow" w:cs="Arial"/>
          <w:color w:val="1F497D" w:themeColor="text2"/>
          <w:sz w:val="22"/>
          <w:szCs w:val="22"/>
        </w:rPr>
        <w:t>2</w:t>
      </w:r>
      <w:r w:rsidR="00981819" w:rsidRPr="007D109C">
        <w:rPr>
          <w:rFonts w:ascii="Arial Narrow" w:hAnsi="Arial Narrow" w:cs="Arial"/>
          <w:color w:val="1F497D" w:themeColor="text2"/>
          <w:sz w:val="22"/>
          <w:szCs w:val="22"/>
        </w:rPr>
        <w:t xml:space="preserve">, </w:t>
      </w:r>
      <w:r w:rsidR="00E75503" w:rsidRPr="007D109C">
        <w:rPr>
          <w:rFonts w:ascii="Arial Narrow" w:hAnsi="Arial Narrow" w:cs="Arial"/>
          <w:color w:val="1F497D" w:themeColor="text2"/>
          <w:sz w:val="22"/>
          <w:szCs w:val="22"/>
        </w:rPr>
        <w:t>composizione percentuale</w:t>
      </w:r>
      <w:r w:rsidR="00981819" w:rsidRPr="007D109C">
        <w:rPr>
          <w:rFonts w:ascii="Arial Narrow" w:hAnsi="Arial Narrow" w:cs="Arial"/>
          <w:color w:val="1F497D" w:themeColor="text2"/>
          <w:sz w:val="22"/>
          <w:szCs w:val="22"/>
        </w:rPr>
        <w:t xml:space="preserve"> e </w:t>
      </w:r>
      <w:r w:rsidR="00E75503" w:rsidRPr="007D109C">
        <w:rPr>
          <w:rFonts w:ascii="Arial Narrow" w:hAnsi="Arial Narrow" w:cs="Arial"/>
          <w:color w:val="1F497D" w:themeColor="text2"/>
          <w:sz w:val="22"/>
          <w:szCs w:val="22"/>
        </w:rPr>
        <w:t xml:space="preserve">valori </w:t>
      </w:r>
      <w:r w:rsidR="007D109C" w:rsidRPr="007D109C">
        <w:rPr>
          <w:rFonts w:ascii="Arial Narrow" w:hAnsi="Arial Narrow" w:cs="Arial"/>
          <w:color w:val="1F497D" w:themeColor="text2"/>
          <w:sz w:val="22"/>
          <w:szCs w:val="22"/>
        </w:rPr>
        <w:t>per 100</w:t>
      </w:r>
      <w:r w:rsidR="00617C01">
        <w:rPr>
          <w:rFonts w:ascii="Arial Narrow" w:hAnsi="Arial Narrow" w:cs="Arial"/>
          <w:color w:val="1F497D" w:themeColor="text2"/>
          <w:sz w:val="22"/>
          <w:szCs w:val="22"/>
        </w:rPr>
        <w:t>mila</w:t>
      </w:r>
      <w:r w:rsidR="007D109C" w:rsidRPr="007D109C">
        <w:rPr>
          <w:rFonts w:ascii="Arial Narrow" w:hAnsi="Arial Narrow" w:cs="Arial"/>
          <w:color w:val="1F497D" w:themeColor="text2"/>
          <w:sz w:val="22"/>
          <w:szCs w:val="22"/>
        </w:rPr>
        <w:t xml:space="preserve"> residenti</w:t>
      </w:r>
    </w:p>
    <w:p w14:paraId="6A56505A" w14:textId="29887293" w:rsidR="00865102" w:rsidRPr="00865102" w:rsidRDefault="00DE19BF" w:rsidP="005B7986">
      <w:pPr>
        <w:autoSpaceDE w:val="0"/>
        <w:autoSpaceDN w:val="0"/>
        <w:adjustRightInd w:val="0"/>
        <w:spacing w:after="120"/>
        <w:rPr>
          <w:rFonts w:ascii="Arial Narrow" w:hAnsi="Arial Narrow" w:cs="Arial"/>
          <w:color w:val="1F497D" w:themeColor="text2"/>
          <w:sz w:val="22"/>
          <w:szCs w:val="22"/>
        </w:rPr>
      </w:pPr>
      <w:r>
        <w:rPr>
          <w:noProof/>
        </w:rPr>
        <w:drawing>
          <wp:inline distT="0" distB="0" distL="0" distR="0" wp14:anchorId="49A4D732" wp14:editId="62732DD2">
            <wp:extent cx="6572250" cy="2305050"/>
            <wp:effectExtent l="0" t="0" r="0" b="0"/>
            <wp:docPr id="33" name="Gra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605FF4">
        <w:rPr>
          <w:rFonts w:ascii="Arial Narrow" w:hAnsi="Arial Narrow" w:cs="Arial"/>
          <w:color w:val="1F497D" w:themeColor="text2"/>
          <w:sz w:val="22"/>
          <w:szCs w:val="22"/>
        </w:rPr>
        <w:br w:type="page"/>
      </w:r>
    </w:p>
    <w:p w14:paraId="4A5E584E" w14:textId="77777777" w:rsidR="00865102" w:rsidRPr="003A36C5" w:rsidRDefault="00865102" w:rsidP="00865102">
      <w:pPr>
        <w:spacing w:after="120"/>
        <w:jc w:val="both"/>
        <w:outlineLvl w:val="0"/>
        <w:rPr>
          <w:rFonts w:ascii="Arial" w:hAnsi="Arial" w:cs="Arial"/>
          <w:bCs/>
          <w:color w:val="1F497D" w:themeColor="text2"/>
          <w:sz w:val="22"/>
          <w:szCs w:val="22"/>
        </w:rPr>
      </w:pPr>
    </w:p>
    <w:p w14:paraId="49A083F5" w14:textId="2213DA1D" w:rsidR="00865102" w:rsidRPr="00EB3555" w:rsidRDefault="00865102" w:rsidP="00EB3555">
      <w:pPr>
        <w:spacing w:after="120"/>
        <w:jc w:val="both"/>
        <w:outlineLvl w:val="0"/>
        <w:rPr>
          <w:rFonts w:ascii="Arial" w:hAnsi="Arial" w:cs="Arial"/>
          <w:b/>
          <w:color w:val="1F497D" w:themeColor="text2"/>
          <w:sz w:val="26"/>
          <w:szCs w:val="26"/>
        </w:rPr>
      </w:pPr>
      <w:r>
        <w:rPr>
          <w:rFonts w:ascii="Arial" w:hAnsi="Arial" w:cs="Arial"/>
          <w:b/>
          <w:color w:val="1F497D" w:themeColor="text2"/>
          <w:sz w:val="26"/>
          <w:szCs w:val="26"/>
        </w:rPr>
        <w:t>Sabato il giorno preferito per nozze e unioni</w:t>
      </w:r>
    </w:p>
    <w:p w14:paraId="72A8F1ED" w14:textId="0633EBF8" w:rsidR="00EB3555" w:rsidRDefault="00EB3555" w:rsidP="00EB3555">
      <w:pPr>
        <w:spacing w:after="120"/>
        <w:jc w:val="both"/>
        <w:outlineLvl w:val="0"/>
        <w:rPr>
          <w:rFonts w:ascii="Arial" w:hAnsi="Arial" w:cs="Arial"/>
          <w:sz w:val="22"/>
          <w:szCs w:val="22"/>
        </w:rPr>
      </w:pPr>
      <w:r w:rsidRPr="00E42BAB">
        <w:rPr>
          <w:rFonts w:ascii="Arial" w:hAnsi="Arial" w:cs="Arial"/>
          <w:sz w:val="22"/>
          <w:szCs w:val="22"/>
        </w:rPr>
        <w:t xml:space="preserve">Il </w:t>
      </w:r>
      <w:r>
        <w:rPr>
          <w:rFonts w:ascii="Arial" w:hAnsi="Arial" w:cs="Arial"/>
          <w:sz w:val="22"/>
          <w:szCs w:val="22"/>
        </w:rPr>
        <w:t>45</w:t>
      </w:r>
      <w:r w:rsidRPr="00E42BAB">
        <w:rPr>
          <w:rFonts w:ascii="Arial" w:hAnsi="Arial" w:cs="Arial"/>
          <w:sz w:val="22"/>
          <w:szCs w:val="22"/>
        </w:rPr>
        <w:t>,</w:t>
      </w:r>
      <w:r>
        <w:rPr>
          <w:rFonts w:ascii="Arial" w:hAnsi="Arial" w:cs="Arial"/>
          <w:sz w:val="22"/>
          <w:szCs w:val="22"/>
        </w:rPr>
        <w:t>3</w:t>
      </w:r>
      <w:r w:rsidRPr="00E42BAB">
        <w:rPr>
          <w:rFonts w:ascii="Arial" w:hAnsi="Arial" w:cs="Arial"/>
          <w:sz w:val="22"/>
          <w:szCs w:val="22"/>
        </w:rPr>
        <w:t xml:space="preserve">% </w:t>
      </w:r>
      <w:r>
        <w:rPr>
          <w:rFonts w:ascii="Arial" w:hAnsi="Arial" w:cs="Arial"/>
          <w:sz w:val="22"/>
          <w:szCs w:val="22"/>
        </w:rPr>
        <w:t xml:space="preserve">di nozze e unioni civili del 2022 (considerate nel loro complesso) si sono svolte di sabato. Anche </w:t>
      </w:r>
      <w:r w:rsidR="00A30658">
        <w:rPr>
          <w:rFonts w:ascii="Arial" w:hAnsi="Arial" w:cs="Arial"/>
          <w:sz w:val="22"/>
          <w:szCs w:val="22"/>
        </w:rPr>
        <w:t>osservando</w:t>
      </w:r>
      <w:r>
        <w:rPr>
          <w:rFonts w:ascii="Arial" w:hAnsi="Arial" w:cs="Arial"/>
          <w:sz w:val="22"/>
          <w:szCs w:val="22"/>
        </w:rPr>
        <w:t xml:space="preserve"> distintamente matrimoni religiosi, matrimoni civili e unioni civili i profili per giorno della settimana in cui si decide di formalizzare il proprio legame affettivo sono molto simili. La preferen</w:t>
      </w:r>
      <w:r w:rsidR="001661C4">
        <w:rPr>
          <w:rFonts w:ascii="Arial" w:hAnsi="Arial" w:cs="Arial"/>
          <w:sz w:val="22"/>
          <w:szCs w:val="22"/>
        </w:rPr>
        <w:t xml:space="preserve">za per il sabato è particolarmente accentuata nel caso dei matrimoni religiosi (50,8%) mentre nel caso delle unioni civili è </w:t>
      </w:r>
      <w:r w:rsidR="009752B6">
        <w:rPr>
          <w:rFonts w:ascii="Arial" w:hAnsi="Arial" w:cs="Arial"/>
          <w:sz w:val="22"/>
          <w:szCs w:val="22"/>
        </w:rPr>
        <w:t xml:space="preserve">del </w:t>
      </w:r>
      <w:r w:rsidR="001661C4">
        <w:rPr>
          <w:rFonts w:ascii="Arial" w:hAnsi="Arial" w:cs="Arial"/>
          <w:sz w:val="22"/>
          <w:szCs w:val="22"/>
        </w:rPr>
        <w:t xml:space="preserve">38,4%. Il giorno meno opzionato per i matrimoni è il martedì: </w:t>
      </w:r>
      <w:r w:rsidR="009752B6">
        <w:rPr>
          <w:rFonts w:ascii="Arial" w:hAnsi="Arial" w:cs="Arial"/>
          <w:sz w:val="22"/>
          <w:szCs w:val="22"/>
        </w:rPr>
        <w:t xml:space="preserve">in tale giorno </w:t>
      </w:r>
      <w:r w:rsidR="001661C4">
        <w:rPr>
          <w:rFonts w:ascii="Arial" w:hAnsi="Arial" w:cs="Arial"/>
          <w:sz w:val="22"/>
          <w:szCs w:val="22"/>
        </w:rPr>
        <w:t xml:space="preserve">si sono celebrati il 4,0% </w:t>
      </w:r>
      <w:r w:rsidR="009752B6">
        <w:rPr>
          <w:rFonts w:ascii="Arial" w:hAnsi="Arial" w:cs="Arial"/>
          <w:sz w:val="22"/>
          <w:szCs w:val="22"/>
        </w:rPr>
        <w:t xml:space="preserve">dei matrimoni religiosi </w:t>
      </w:r>
      <w:r w:rsidR="001661C4">
        <w:rPr>
          <w:rFonts w:ascii="Arial" w:hAnsi="Arial" w:cs="Arial"/>
          <w:sz w:val="22"/>
          <w:szCs w:val="22"/>
        </w:rPr>
        <w:t>e il 6,3% d</w:t>
      </w:r>
      <w:r w:rsidR="009752B6">
        <w:rPr>
          <w:rFonts w:ascii="Arial" w:hAnsi="Arial" w:cs="Arial"/>
          <w:sz w:val="22"/>
          <w:szCs w:val="22"/>
        </w:rPr>
        <w:t xml:space="preserve">i quelli </w:t>
      </w:r>
      <w:r w:rsidR="001661C4">
        <w:rPr>
          <w:rFonts w:ascii="Arial" w:hAnsi="Arial" w:cs="Arial"/>
          <w:sz w:val="22"/>
          <w:szCs w:val="22"/>
        </w:rPr>
        <w:t xml:space="preserve">civili. Il giorno della settimana, invece, in cui si sono costituite meno unioni civili è la domenica (6,3%), </w:t>
      </w:r>
      <w:r w:rsidR="0001291E">
        <w:rPr>
          <w:rFonts w:ascii="Arial" w:hAnsi="Arial" w:cs="Arial"/>
          <w:sz w:val="22"/>
          <w:szCs w:val="22"/>
        </w:rPr>
        <w:t>seguita dal lunedì (7,</w:t>
      </w:r>
      <w:r w:rsidR="00EB52E9">
        <w:rPr>
          <w:rFonts w:ascii="Arial" w:hAnsi="Arial" w:cs="Arial"/>
          <w:sz w:val="22"/>
          <w:szCs w:val="22"/>
        </w:rPr>
        <w:t xml:space="preserve">5%). </w:t>
      </w:r>
    </w:p>
    <w:p w14:paraId="7464586C" w14:textId="13BEC8A8" w:rsidR="00AB4C4E" w:rsidRDefault="00EB52E9" w:rsidP="00155C50">
      <w:pPr>
        <w:spacing w:after="120"/>
        <w:jc w:val="both"/>
        <w:outlineLvl w:val="0"/>
        <w:rPr>
          <w:rFonts w:ascii="Arial" w:hAnsi="Arial" w:cs="Arial"/>
          <w:sz w:val="22"/>
          <w:szCs w:val="22"/>
        </w:rPr>
      </w:pPr>
      <w:r>
        <w:rPr>
          <w:rFonts w:ascii="Arial" w:hAnsi="Arial" w:cs="Arial"/>
          <w:sz w:val="22"/>
          <w:szCs w:val="22"/>
        </w:rPr>
        <w:t>La preferenza per giorno della settimana è legata ovviamente a valutazioni di ordine organizzativo ed economico</w:t>
      </w:r>
      <w:r w:rsidR="009C4FDF">
        <w:rPr>
          <w:rFonts w:ascii="Arial" w:hAnsi="Arial" w:cs="Arial"/>
          <w:sz w:val="22"/>
          <w:szCs w:val="22"/>
        </w:rPr>
        <w:t xml:space="preserve">: </w:t>
      </w:r>
      <w:r>
        <w:rPr>
          <w:rFonts w:ascii="Arial" w:hAnsi="Arial" w:cs="Arial"/>
          <w:sz w:val="22"/>
          <w:szCs w:val="22"/>
        </w:rPr>
        <w:t xml:space="preserve">da una parte, </w:t>
      </w:r>
      <w:r w:rsidR="009C4FDF">
        <w:rPr>
          <w:rFonts w:ascii="Arial" w:hAnsi="Arial" w:cs="Arial"/>
          <w:sz w:val="22"/>
          <w:szCs w:val="22"/>
        </w:rPr>
        <w:t>al</w:t>
      </w:r>
      <w:r>
        <w:rPr>
          <w:rFonts w:ascii="Arial" w:hAnsi="Arial" w:cs="Arial"/>
          <w:sz w:val="22"/>
          <w:szCs w:val="22"/>
        </w:rPr>
        <w:t xml:space="preserve">la necessità di decidere in largo anticipo la </w:t>
      </w:r>
      <w:r w:rsidRPr="00486BEA">
        <w:rPr>
          <w:rFonts w:ascii="Arial" w:hAnsi="Arial" w:cs="Arial"/>
          <w:sz w:val="22"/>
          <w:szCs w:val="22"/>
        </w:rPr>
        <w:t xml:space="preserve">data per opzionare luoghi di celebrazione e di festeggiamento </w:t>
      </w:r>
      <w:r w:rsidR="00AB4C4E" w:rsidRPr="00486BEA">
        <w:rPr>
          <w:rFonts w:ascii="Arial" w:hAnsi="Arial" w:cs="Arial"/>
          <w:sz w:val="22"/>
          <w:szCs w:val="22"/>
        </w:rPr>
        <w:t xml:space="preserve">più </w:t>
      </w:r>
      <w:r w:rsidRPr="00486BEA">
        <w:rPr>
          <w:rFonts w:ascii="Arial" w:hAnsi="Arial" w:cs="Arial"/>
          <w:sz w:val="22"/>
          <w:szCs w:val="22"/>
        </w:rPr>
        <w:t>“gettonati”</w:t>
      </w:r>
      <w:r w:rsidR="009C4FDF" w:rsidRPr="00486BEA">
        <w:rPr>
          <w:rFonts w:ascii="Arial" w:hAnsi="Arial" w:cs="Arial"/>
          <w:sz w:val="22"/>
          <w:szCs w:val="22"/>
        </w:rPr>
        <w:t>;</w:t>
      </w:r>
      <w:r w:rsidRPr="00486BEA">
        <w:rPr>
          <w:rFonts w:ascii="Arial" w:hAnsi="Arial" w:cs="Arial"/>
          <w:sz w:val="22"/>
          <w:szCs w:val="22"/>
        </w:rPr>
        <w:t xml:space="preserve"> dall’altra, </w:t>
      </w:r>
      <w:r w:rsidR="009C4FDF" w:rsidRPr="00486BEA">
        <w:rPr>
          <w:rFonts w:ascii="Arial" w:hAnsi="Arial" w:cs="Arial"/>
          <w:sz w:val="22"/>
          <w:szCs w:val="22"/>
        </w:rPr>
        <w:t xml:space="preserve">a quella di </w:t>
      </w:r>
      <w:r w:rsidRPr="00486BEA">
        <w:rPr>
          <w:rFonts w:ascii="Arial" w:hAnsi="Arial" w:cs="Arial"/>
          <w:sz w:val="22"/>
          <w:szCs w:val="22"/>
        </w:rPr>
        <w:t xml:space="preserve">scegliere giorni meno </w:t>
      </w:r>
      <w:r w:rsidR="001928F4" w:rsidRPr="00486BEA">
        <w:rPr>
          <w:rFonts w:ascii="Arial" w:hAnsi="Arial" w:cs="Arial"/>
          <w:sz w:val="22"/>
          <w:szCs w:val="22"/>
        </w:rPr>
        <w:t xml:space="preserve">richiesti </w:t>
      </w:r>
      <w:r w:rsidRPr="00486BEA">
        <w:rPr>
          <w:rFonts w:ascii="Arial" w:hAnsi="Arial" w:cs="Arial"/>
          <w:sz w:val="22"/>
          <w:szCs w:val="22"/>
        </w:rPr>
        <w:t>per</w:t>
      </w:r>
      <w:r>
        <w:rPr>
          <w:rFonts w:ascii="Arial" w:hAnsi="Arial" w:cs="Arial"/>
          <w:sz w:val="22"/>
          <w:szCs w:val="22"/>
        </w:rPr>
        <w:t xml:space="preserve"> trovare posto più a ridosso </w:t>
      </w:r>
      <w:r w:rsidR="00A30658">
        <w:rPr>
          <w:rFonts w:ascii="Arial" w:hAnsi="Arial" w:cs="Arial"/>
          <w:sz w:val="22"/>
          <w:szCs w:val="22"/>
        </w:rPr>
        <w:t xml:space="preserve">dell’evento </w:t>
      </w:r>
      <w:r>
        <w:rPr>
          <w:rFonts w:ascii="Arial" w:hAnsi="Arial" w:cs="Arial"/>
          <w:sz w:val="22"/>
          <w:szCs w:val="22"/>
        </w:rPr>
        <w:t xml:space="preserve">e magari </w:t>
      </w:r>
      <w:r w:rsidR="009D7035">
        <w:rPr>
          <w:rFonts w:ascii="Arial" w:hAnsi="Arial" w:cs="Arial"/>
          <w:sz w:val="22"/>
          <w:szCs w:val="22"/>
        </w:rPr>
        <w:t>usufruire di</w:t>
      </w:r>
      <w:r>
        <w:rPr>
          <w:rFonts w:ascii="Arial" w:hAnsi="Arial" w:cs="Arial"/>
          <w:sz w:val="22"/>
          <w:szCs w:val="22"/>
        </w:rPr>
        <w:t xml:space="preserve"> agevolazion</w:t>
      </w:r>
      <w:r w:rsidR="009455FC">
        <w:rPr>
          <w:rFonts w:ascii="Arial" w:hAnsi="Arial" w:cs="Arial"/>
          <w:sz w:val="22"/>
          <w:szCs w:val="22"/>
        </w:rPr>
        <w:t>i</w:t>
      </w:r>
      <w:r>
        <w:rPr>
          <w:rFonts w:ascii="Arial" w:hAnsi="Arial" w:cs="Arial"/>
          <w:sz w:val="22"/>
          <w:szCs w:val="22"/>
        </w:rPr>
        <w:t xml:space="preserve"> in termini economici. </w:t>
      </w:r>
    </w:p>
    <w:p w14:paraId="668A0288" w14:textId="73D9035B" w:rsidR="00C20913" w:rsidRDefault="00EB52E9" w:rsidP="00155C50">
      <w:pPr>
        <w:spacing w:after="120"/>
        <w:jc w:val="both"/>
        <w:outlineLvl w:val="0"/>
        <w:rPr>
          <w:rFonts w:ascii="Arial" w:hAnsi="Arial" w:cs="Arial"/>
          <w:sz w:val="22"/>
          <w:szCs w:val="22"/>
        </w:rPr>
      </w:pPr>
      <w:r>
        <w:rPr>
          <w:rFonts w:ascii="Arial" w:hAnsi="Arial" w:cs="Arial"/>
          <w:sz w:val="22"/>
          <w:szCs w:val="22"/>
        </w:rPr>
        <w:t>Al di là di questo aspetto</w:t>
      </w:r>
      <w:r w:rsidR="009C4FDF">
        <w:rPr>
          <w:rFonts w:ascii="Arial" w:hAnsi="Arial" w:cs="Arial"/>
          <w:sz w:val="22"/>
          <w:szCs w:val="22"/>
        </w:rPr>
        <w:t>,</w:t>
      </w:r>
      <w:r>
        <w:rPr>
          <w:rFonts w:ascii="Arial" w:hAnsi="Arial" w:cs="Arial"/>
          <w:sz w:val="22"/>
          <w:szCs w:val="22"/>
        </w:rPr>
        <w:t xml:space="preserve"> la stagionalità dei matrimoni è </w:t>
      </w:r>
      <w:r w:rsidR="00B30EED">
        <w:rPr>
          <w:rFonts w:ascii="Arial" w:hAnsi="Arial" w:cs="Arial"/>
          <w:sz w:val="22"/>
          <w:szCs w:val="22"/>
        </w:rPr>
        <w:t xml:space="preserve">da sempre </w:t>
      </w:r>
      <w:r>
        <w:rPr>
          <w:rFonts w:ascii="Arial" w:hAnsi="Arial" w:cs="Arial"/>
          <w:sz w:val="22"/>
          <w:szCs w:val="22"/>
        </w:rPr>
        <w:t xml:space="preserve">legata </w:t>
      </w:r>
      <w:r w:rsidR="00B30EED">
        <w:rPr>
          <w:rFonts w:ascii="Arial" w:hAnsi="Arial" w:cs="Arial"/>
          <w:sz w:val="22"/>
          <w:szCs w:val="22"/>
        </w:rPr>
        <w:t>al calendario del lavoro e a quello delle festività religiose.</w:t>
      </w:r>
      <w:r w:rsidR="00355C9D">
        <w:rPr>
          <w:rFonts w:ascii="Arial" w:hAnsi="Arial" w:cs="Arial"/>
          <w:sz w:val="22"/>
          <w:szCs w:val="22"/>
        </w:rPr>
        <w:t xml:space="preserve"> Storicamente, </w:t>
      </w:r>
      <w:r w:rsidR="00B30EED">
        <w:rPr>
          <w:rFonts w:ascii="Arial" w:hAnsi="Arial" w:cs="Arial"/>
          <w:sz w:val="22"/>
          <w:szCs w:val="22"/>
        </w:rPr>
        <w:t xml:space="preserve">soprattutto nelle aree rurali, </w:t>
      </w:r>
      <w:r w:rsidR="000A1B97">
        <w:rPr>
          <w:rFonts w:ascii="Arial" w:hAnsi="Arial" w:cs="Arial"/>
          <w:sz w:val="22"/>
          <w:szCs w:val="22"/>
        </w:rPr>
        <w:t>il calendario</w:t>
      </w:r>
      <w:r w:rsidR="009C4FDF">
        <w:rPr>
          <w:rFonts w:ascii="Arial" w:hAnsi="Arial" w:cs="Arial"/>
          <w:sz w:val="22"/>
          <w:szCs w:val="22"/>
        </w:rPr>
        <w:t xml:space="preserve"> </w:t>
      </w:r>
      <w:r w:rsidR="00B30EED">
        <w:rPr>
          <w:rFonts w:ascii="Arial" w:hAnsi="Arial" w:cs="Arial"/>
          <w:sz w:val="22"/>
          <w:szCs w:val="22"/>
        </w:rPr>
        <w:t xml:space="preserve">seguiva il </w:t>
      </w:r>
      <w:r w:rsidR="00B30EED" w:rsidRPr="00B30EED">
        <w:rPr>
          <w:rFonts w:ascii="Arial" w:hAnsi="Arial" w:cs="Arial"/>
          <w:sz w:val="22"/>
          <w:szCs w:val="22"/>
        </w:rPr>
        <w:t>ciclo</w:t>
      </w:r>
      <w:r w:rsidR="00B30EED">
        <w:rPr>
          <w:rFonts w:ascii="Arial" w:hAnsi="Arial" w:cs="Arial"/>
          <w:sz w:val="22"/>
          <w:szCs w:val="22"/>
        </w:rPr>
        <w:t xml:space="preserve"> </w:t>
      </w:r>
      <w:r w:rsidR="00355C9D">
        <w:rPr>
          <w:rFonts w:ascii="Arial" w:hAnsi="Arial" w:cs="Arial"/>
          <w:sz w:val="22"/>
          <w:szCs w:val="22"/>
        </w:rPr>
        <w:t>naturale dei lavori agricoli</w:t>
      </w:r>
      <w:r w:rsidR="00AA25E2">
        <w:rPr>
          <w:rFonts w:ascii="Arial" w:hAnsi="Arial" w:cs="Arial"/>
          <w:sz w:val="22"/>
          <w:szCs w:val="22"/>
        </w:rPr>
        <w:t xml:space="preserve"> e</w:t>
      </w:r>
      <w:r w:rsidR="00355C9D">
        <w:rPr>
          <w:rFonts w:ascii="Arial" w:hAnsi="Arial" w:cs="Arial"/>
          <w:sz w:val="22"/>
          <w:szCs w:val="22"/>
        </w:rPr>
        <w:t xml:space="preserve"> si osservava una rarefazione dei matrimoni in corrispondenza dell’</w:t>
      </w:r>
      <w:r w:rsidR="00B30EED" w:rsidRPr="00B30EED">
        <w:rPr>
          <w:rFonts w:ascii="Arial" w:hAnsi="Arial" w:cs="Arial"/>
          <w:sz w:val="22"/>
          <w:szCs w:val="22"/>
        </w:rPr>
        <w:t>attività stagionale</w:t>
      </w:r>
      <w:r w:rsidR="00B30EED">
        <w:rPr>
          <w:rFonts w:ascii="Arial" w:hAnsi="Arial" w:cs="Arial"/>
          <w:sz w:val="22"/>
          <w:szCs w:val="22"/>
        </w:rPr>
        <w:t xml:space="preserve"> </w:t>
      </w:r>
      <w:r w:rsidR="00355C9D">
        <w:rPr>
          <w:rFonts w:ascii="Arial" w:hAnsi="Arial" w:cs="Arial"/>
          <w:sz w:val="22"/>
          <w:szCs w:val="22"/>
        </w:rPr>
        <w:t>agricola</w:t>
      </w:r>
      <w:r w:rsidR="009C4FDF">
        <w:rPr>
          <w:rFonts w:ascii="Arial" w:hAnsi="Arial" w:cs="Arial"/>
          <w:sz w:val="22"/>
          <w:szCs w:val="22"/>
        </w:rPr>
        <w:t>, soprattutto nei periodi estivi di raccolta dei prodotti</w:t>
      </w:r>
      <w:r w:rsidR="00355C9D">
        <w:rPr>
          <w:rFonts w:ascii="Arial" w:hAnsi="Arial" w:cs="Arial"/>
          <w:sz w:val="22"/>
          <w:szCs w:val="22"/>
        </w:rPr>
        <w:t>.</w:t>
      </w:r>
      <w:r w:rsidR="00B30EED">
        <w:rPr>
          <w:rFonts w:ascii="Arial" w:hAnsi="Arial" w:cs="Arial"/>
          <w:sz w:val="22"/>
          <w:szCs w:val="22"/>
        </w:rPr>
        <w:t xml:space="preserve"> </w:t>
      </w:r>
      <w:r w:rsidR="00355C9D">
        <w:rPr>
          <w:rFonts w:ascii="Arial" w:hAnsi="Arial" w:cs="Arial"/>
          <w:sz w:val="22"/>
          <w:szCs w:val="22"/>
        </w:rPr>
        <w:t xml:space="preserve">Ora l’andamento delle ferie estive e scolastiche sembra, invece, rappresentare un elemento centrale nella stagionalità del fenomeno della formazione di una famiglia attraverso il matrimonio </w:t>
      </w:r>
      <w:r w:rsidR="00712936">
        <w:rPr>
          <w:rFonts w:ascii="Arial" w:hAnsi="Arial" w:cs="Arial"/>
          <w:sz w:val="22"/>
          <w:szCs w:val="22"/>
        </w:rPr>
        <w:t xml:space="preserve">(Figura 5) </w:t>
      </w:r>
      <w:r w:rsidR="00355C9D">
        <w:rPr>
          <w:rFonts w:ascii="Arial" w:hAnsi="Arial" w:cs="Arial"/>
          <w:sz w:val="22"/>
          <w:szCs w:val="22"/>
        </w:rPr>
        <w:t>o l’</w:t>
      </w:r>
      <w:r w:rsidR="007A1F0B">
        <w:rPr>
          <w:rFonts w:ascii="Arial" w:hAnsi="Arial" w:cs="Arial"/>
          <w:sz w:val="22"/>
          <w:szCs w:val="22"/>
        </w:rPr>
        <w:t>unione civile</w:t>
      </w:r>
      <w:r w:rsidR="004A51A3">
        <w:rPr>
          <w:rFonts w:ascii="Arial" w:hAnsi="Arial" w:cs="Arial"/>
          <w:sz w:val="22"/>
          <w:szCs w:val="22"/>
        </w:rPr>
        <w:t>, dove</w:t>
      </w:r>
      <w:r w:rsidR="00355C9D">
        <w:rPr>
          <w:rFonts w:ascii="Arial" w:hAnsi="Arial" w:cs="Arial"/>
          <w:sz w:val="22"/>
          <w:szCs w:val="22"/>
        </w:rPr>
        <w:t xml:space="preserve"> </w:t>
      </w:r>
      <w:r w:rsidR="007A1F0B">
        <w:rPr>
          <w:rFonts w:ascii="Arial" w:hAnsi="Arial" w:cs="Arial"/>
          <w:sz w:val="22"/>
          <w:szCs w:val="22"/>
        </w:rPr>
        <w:t>a</w:t>
      </w:r>
      <w:r w:rsidR="00355C9D">
        <w:rPr>
          <w:rFonts w:ascii="Arial" w:hAnsi="Arial" w:cs="Arial"/>
          <w:sz w:val="22"/>
          <w:szCs w:val="22"/>
        </w:rPr>
        <w:t xml:space="preserve">ncora una volta i profili appaiono molto simili al di là del </w:t>
      </w:r>
      <w:r w:rsidR="004A51A3">
        <w:rPr>
          <w:rFonts w:ascii="Arial" w:hAnsi="Arial" w:cs="Arial"/>
          <w:sz w:val="22"/>
          <w:szCs w:val="22"/>
        </w:rPr>
        <w:t xml:space="preserve">rispettivo </w:t>
      </w:r>
      <w:r w:rsidR="00355C9D">
        <w:rPr>
          <w:rFonts w:ascii="Arial" w:hAnsi="Arial" w:cs="Arial"/>
          <w:sz w:val="22"/>
          <w:szCs w:val="22"/>
        </w:rPr>
        <w:t>peso numerico.</w:t>
      </w:r>
      <w:r w:rsidR="006B7BF8">
        <w:rPr>
          <w:rFonts w:ascii="Arial" w:hAnsi="Arial" w:cs="Arial"/>
          <w:sz w:val="22"/>
          <w:szCs w:val="22"/>
        </w:rPr>
        <w:t xml:space="preserve"> </w:t>
      </w:r>
    </w:p>
    <w:p w14:paraId="5AB4DDB7" w14:textId="6762A235" w:rsidR="00AA25E2" w:rsidRDefault="006B7BF8" w:rsidP="00155C50">
      <w:pPr>
        <w:spacing w:after="120"/>
        <w:jc w:val="both"/>
        <w:outlineLvl w:val="0"/>
        <w:rPr>
          <w:rFonts w:ascii="Arial" w:hAnsi="Arial" w:cs="Arial"/>
          <w:sz w:val="22"/>
          <w:szCs w:val="22"/>
        </w:rPr>
      </w:pPr>
      <w:r>
        <w:rPr>
          <w:rFonts w:ascii="Arial" w:hAnsi="Arial" w:cs="Arial"/>
          <w:sz w:val="22"/>
          <w:szCs w:val="22"/>
        </w:rPr>
        <w:t xml:space="preserve">Si osservano sostanzialmente due picchi: uno a inizio settembre che poi degrada </w:t>
      </w:r>
      <w:r w:rsidR="00AA25E2">
        <w:rPr>
          <w:rFonts w:ascii="Arial" w:hAnsi="Arial" w:cs="Arial"/>
          <w:sz w:val="22"/>
          <w:szCs w:val="22"/>
        </w:rPr>
        <w:t>lenta</w:t>
      </w:r>
      <w:r>
        <w:rPr>
          <w:rFonts w:ascii="Arial" w:hAnsi="Arial" w:cs="Arial"/>
          <w:sz w:val="22"/>
          <w:szCs w:val="22"/>
        </w:rPr>
        <w:t>mente fino a ottobre inoltrato</w:t>
      </w:r>
      <w:r w:rsidR="001C1B3A">
        <w:rPr>
          <w:rFonts w:ascii="Arial" w:hAnsi="Arial" w:cs="Arial"/>
          <w:sz w:val="22"/>
          <w:szCs w:val="22"/>
        </w:rPr>
        <w:t>,</w:t>
      </w:r>
      <w:r>
        <w:rPr>
          <w:rFonts w:ascii="Arial" w:hAnsi="Arial" w:cs="Arial"/>
          <w:sz w:val="22"/>
          <w:szCs w:val="22"/>
        </w:rPr>
        <w:t xml:space="preserve"> l’altro nella seconda metà di giugno al culmine di un periodo </w:t>
      </w:r>
      <w:r w:rsidR="00617637">
        <w:rPr>
          <w:rFonts w:ascii="Arial" w:hAnsi="Arial" w:cs="Arial"/>
          <w:sz w:val="22"/>
          <w:szCs w:val="22"/>
        </w:rPr>
        <w:t xml:space="preserve">più ampio </w:t>
      </w:r>
      <w:r>
        <w:rPr>
          <w:rFonts w:ascii="Arial" w:hAnsi="Arial" w:cs="Arial"/>
          <w:sz w:val="22"/>
          <w:szCs w:val="22"/>
        </w:rPr>
        <w:t>che va da fine aprile a fine luglio</w:t>
      </w:r>
      <w:r w:rsidR="001C1B3A">
        <w:rPr>
          <w:rFonts w:ascii="Arial" w:hAnsi="Arial" w:cs="Arial"/>
          <w:sz w:val="22"/>
          <w:szCs w:val="22"/>
        </w:rPr>
        <w:t xml:space="preserve">. </w:t>
      </w:r>
    </w:p>
    <w:p w14:paraId="1CD112DB" w14:textId="6E0AEE32" w:rsidR="00617637" w:rsidRDefault="001C1B3A" w:rsidP="00155C50">
      <w:pPr>
        <w:spacing w:after="120"/>
        <w:jc w:val="both"/>
        <w:outlineLvl w:val="0"/>
        <w:rPr>
          <w:rFonts w:ascii="Arial" w:hAnsi="Arial" w:cs="Arial"/>
          <w:sz w:val="22"/>
          <w:szCs w:val="22"/>
        </w:rPr>
      </w:pPr>
      <w:r>
        <w:rPr>
          <w:rFonts w:ascii="Arial" w:hAnsi="Arial" w:cs="Arial"/>
          <w:sz w:val="22"/>
          <w:szCs w:val="22"/>
        </w:rPr>
        <w:t>L</w:t>
      </w:r>
      <w:r w:rsidR="00617637">
        <w:rPr>
          <w:rFonts w:ascii="Arial" w:hAnsi="Arial" w:cs="Arial"/>
          <w:sz w:val="22"/>
          <w:szCs w:val="22"/>
        </w:rPr>
        <w:t>e quattro date del 2022 in cui ci si è sposati e uniti di più sono</w:t>
      </w:r>
      <w:r w:rsidR="00155C50">
        <w:rPr>
          <w:rFonts w:ascii="Arial" w:hAnsi="Arial" w:cs="Arial"/>
          <w:sz w:val="22"/>
          <w:szCs w:val="22"/>
        </w:rPr>
        <w:t>,</w:t>
      </w:r>
      <w:r w:rsidR="00617637">
        <w:rPr>
          <w:rFonts w:ascii="Arial" w:hAnsi="Arial" w:cs="Arial"/>
          <w:sz w:val="22"/>
          <w:szCs w:val="22"/>
        </w:rPr>
        <w:t xml:space="preserve"> in graduatoria decrescente: 10 settembre, 3 settembre, 25 giugno e 18 giugno</w:t>
      </w:r>
      <w:r>
        <w:rPr>
          <w:rFonts w:ascii="Arial" w:hAnsi="Arial" w:cs="Arial"/>
          <w:sz w:val="22"/>
          <w:szCs w:val="22"/>
        </w:rPr>
        <w:t>, tutt</w:t>
      </w:r>
      <w:r w:rsidR="00370405">
        <w:rPr>
          <w:rFonts w:ascii="Arial" w:hAnsi="Arial" w:cs="Arial"/>
          <w:sz w:val="22"/>
          <w:szCs w:val="22"/>
        </w:rPr>
        <w:t>e</w:t>
      </w:r>
      <w:r>
        <w:rPr>
          <w:rFonts w:ascii="Arial" w:hAnsi="Arial" w:cs="Arial"/>
          <w:sz w:val="22"/>
          <w:szCs w:val="22"/>
        </w:rPr>
        <w:t xml:space="preserve"> </w:t>
      </w:r>
      <w:r w:rsidR="00370405">
        <w:rPr>
          <w:rFonts w:ascii="Arial" w:hAnsi="Arial" w:cs="Arial"/>
          <w:sz w:val="22"/>
          <w:szCs w:val="22"/>
        </w:rPr>
        <w:t>di</w:t>
      </w:r>
      <w:r>
        <w:rPr>
          <w:rFonts w:ascii="Arial" w:hAnsi="Arial" w:cs="Arial"/>
          <w:sz w:val="22"/>
          <w:szCs w:val="22"/>
        </w:rPr>
        <w:t xml:space="preserve"> sabato</w:t>
      </w:r>
      <w:r w:rsidR="00617637">
        <w:rPr>
          <w:rFonts w:ascii="Arial" w:hAnsi="Arial" w:cs="Arial"/>
          <w:sz w:val="22"/>
          <w:szCs w:val="22"/>
        </w:rPr>
        <w:t xml:space="preserve">. Per i matrimoni religiosi la graduatoria </w:t>
      </w:r>
      <w:r w:rsidR="00155C50">
        <w:rPr>
          <w:rFonts w:ascii="Arial" w:hAnsi="Arial" w:cs="Arial"/>
          <w:sz w:val="22"/>
          <w:szCs w:val="22"/>
        </w:rPr>
        <w:t>ricalca quella del complesso dei matrimoni</w:t>
      </w:r>
      <w:r w:rsidR="00617637">
        <w:rPr>
          <w:rFonts w:ascii="Arial" w:hAnsi="Arial" w:cs="Arial"/>
          <w:sz w:val="22"/>
          <w:szCs w:val="22"/>
        </w:rPr>
        <w:t xml:space="preserve">, per quelli civili c’è </w:t>
      </w:r>
      <w:r w:rsidR="004A51A3">
        <w:rPr>
          <w:rFonts w:ascii="Arial" w:hAnsi="Arial" w:cs="Arial"/>
          <w:sz w:val="22"/>
          <w:szCs w:val="22"/>
        </w:rPr>
        <w:t xml:space="preserve">uno scambio di preferenze </w:t>
      </w:r>
      <w:r w:rsidR="00617637">
        <w:rPr>
          <w:rFonts w:ascii="Arial" w:hAnsi="Arial" w:cs="Arial"/>
          <w:sz w:val="22"/>
          <w:szCs w:val="22"/>
        </w:rPr>
        <w:t xml:space="preserve">tra le date </w:t>
      </w:r>
      <w:r w:rsidR="004A51A3">
        <w:rPr>
          <w:rFonts w:ascii="Arial" w:hAnsi="Arial" w:cs="Arial"/>
          <w:sz w:val="22"/>
          <w:szCs w:val="22"/>
        </w:rPr>
        <w:t xml:space="preserve">favorite </w:t>
      </w:r>
      <w:r w:rsidR="00617637">
        <w:rPr>
          <w:rFonts w:ascii="Arial" w:hAnsi="Arial" w:cs="Arial"/>
          <w:sz w:val="22"/>
          <w:szCs w:val="22"/>
        </w:rPr>
        <w:t>al terzo e quarto posto. Per le unioni civili, invece, la data più opzionata è stata sabato 11 giugno, seguita da altre date che hanno contraddistinto</w:t>
      </w:r>
      <w:r w:rsidR="007A1F0B">
        <w:rPr>
          <w:rFonts w:ascii="Arial" w:hAnsi="Arial" w:cs="Arial"/>
          <w:sz w:val="22"/>
          <w:szCs w:val="22"/>
        </w:rPr>
        <w:t xml:space="preserve"> anche</w:t>
      </w:r>
      <w:r w:rsidR="00617637">
        <w:rPr>
          <w:rFonts w:ascii="Arial" w:hAnsi="Arial" w:cs="Arial"/>
          <w:sz w:val="22"/>
          <w:szCs w:val="22"/>
        </w:rPr>
        <w:t xml:space="preserve"> i matrimoni: 10 settembre, 18 giugno e 25 giugno.</w:t>
      </w:r>
    </w:p>
    <w:p w14:paraId="6BDA347C" w14:textId="77777777" w:rsidR="006B7BF8" w:rsidRDefault="006B7BF8" w:rsidP="00B30EED">
      <w:pPr>
        <w:spacing w:after="120"/>
        <w:jc w:val="both"/>
        <w:outlineLvl w:val="0"/>
        <w:rPr>
          <w:rFonts w:ascii="Arial" w:hAnsi="Arial" w:cs="Arial"/>
          <w:sz w:val="22"/>
          <w:szCs w:val="22"/>
        </w:rPr>
      </w:pPr>
    </w:p>
    <w:p w14:paraId="42FFF1AA" w14:textId="77777777" w:rsidR="00355C9D" w:rsidRDefault="00355C9D" w:rsidP="00B30EED">
      <w:pPr>
        <w:spacing w:after="120"/>
        <w:jc w:val="both"/>
        <w:outlineLvl w:val="0"/>
        <w:rPr>
          <w:rFonts w:ascii="Arial" w:hAnsi="Arial" w:cs="Arial"/>
          <w:sz w:val="22"/>
          <w:szCs w:val="22"/>
        </w:rPr>
      </w:pPr>
    </w:p>
    <w:p w14:paraId="00486BBB" w14:textId="77777777" w:rsidR="00EB52E9" w:rsidRDefault="00EB52E9" w:rsidP="00EB3555">
      <w:pPr>
        <w:spacing w:after="120"/>
        <w:jc w:val="both"/>
        <w:outlineLvl w:val="0"/>
        <w:rPr>
          <w:rFonts w:ascii="Arial" w:hAnsi="Arial" w:cs="Arial"/>
          <w:sz w:val="22"/>
          <w:szCs w:val="22"/>
        </w:rPr>
      </w:pPr>
    </w:p>
    <w:p w14:paraId="7F9C60E9" w14:textId="77777777" w:rsidR="00AA25E2" w:rsidRDefault="00AA25E2" w:rsidP="00EB3555">
      <w:pPr>
        <w:spacing w:after="120"/>
        <w:jc w:val="both"/>
        <w:outlineLvl w:val="0"/>
        <w:rPr>
          <w:rFonts w:ascii="Arial" w:hAnsi="Arial" w:cs="Arial"/>
          <w:sz w:val="22"/>
          <w:szCs w:val="22"/>
        </w:rPr>
      </w:pPr>
    </w:p>
    <w:p w14:paraId="17C732FC" w14:textId="77777777" w:rsidR="00AA25E2" w:rsidRDefault="00AA25E2" w:rsidP="00EB3555">
      <w:pPr>
        <w:spacing w:after="120"/>
        <w:jc w:val="both"/>
        <w:outlineLvl w:val="0"/>
        <w:rPr>
          <w:rFonts w:ascii="Arial" w:hAnsi="Arial" w:cs="Arial"/>
          <w:sz w:val="22"/>
          <w:szCs w:val="22"/>
        </w:rPr>
      </w:pPr>
    </w:p>
    <w:p w14:paraId="71E9A80E" w14:textId="77777777" w:rsidR="00AA25E2" w:rsidRDefault="00AA25E2" w:rsidP="00EB3555">
      <w:pPr>
        <w:spacing w:after="120"/>
        <w:jc w:val="both"/>
        <w:outlineLvl w:val="0"/>
        <w:rPr>
          <w:rFonts w:ascii="Arial" w:hAnsi="Arial" w:cs="Arial"/>
          <w:sz w:val="22"/>
          <w:szCs w:val="22"/>
        </w:rPr>
      </w:pPr>
    </w:p>
    <w:p w14:paraId="1E23423A" w14:textId="77777777" w:rsidR="00AA25E2" w:rsidRPr="001928F4" w:rsidRDefault="00AA25E2" w:rsidP="001928F4">
      <w:pPr>
        <w:jc w:val="both"/>
        <w:outlineLvl w:val="0"/>
        <w:rPr>
          <w:rFonts w:ascii="Arial" w:hAnsi="Arial" w:cs="Arial"/>
          <w:sz w:val="14"/>
          <w:szCs w:val="14"/>
        </w:rPr>
      </w:pPr>
    </w:p>
    <w:p w14:paraId="6746638B" w14:textId="63347C4F" w:rsidR="00C74129" w:rsidRPr="003A36C5" w:rsidRDefault="00C74129" w:rsidP="00355C9D">
      <w:pPr>
        <w:autoSpaceDE w:val="0"/>
        <w:autoSpaceDN w:val="0"/>
        <w:adjustRightInd w:val="0"/>
        <w:jc w:val="both"/>
        <w:rPr>
          <w:rFonts w:ascii="Arial Narrow" w:hAnsi="Arial Narrow"/>
          <w:b/>
          <w:bCs/>
          <w:color w:val="1F497D"/>
          <w:sz w:val="22"/>
          <w:szCs w:val="22"/>
        </w:rPr>
      </w:pPr>
      <w:r w:rsidRPr="00E81960">
        <w:rPr>
          <w:rFonts w:ascii="Arial Black" w:hAnsi="Arial Black" w:cs="Arial"/>
          <w:iCs/>
          <w:noProof/>
          <w:color w:val="1F497D" w:themeColor="text2"/>
          <w:sz w:val="22"/>
          <w:szCs w:val="22"/>
        </w:rPr>
        <w:t xml:space="preserve">FIGURA </w:t>
      </w:r>
      <w:r>
        <w:rPr>
          <w:rFonts w:ascii="Arial Black" w:hAnsi="Arial Black" w:cs="Arial"/>
          <w:iCs/>
          <w:noProof/>
          <w:color w:val="1F497D" w:themeColor="text2"/>
          <w:sz w:val="22"/>
          <w:szCs w:val="22"/>
        </w:rPr>
        <w:t>5</w:t>
      </w:r>
      <w:r w:rsidRPr="00E81960">
        <w:rPr>
          <w:rFonts w:ascii="Arial Black" w:hAnsi="Arial Black" w:cs="Arial"/>
          <w:iCs/>
          <w:noProof/>
          <w:color w:val="1F497D" w:themeColor="text2"/>
          <w:sz w:val="22"/>
          <w:szCs w:val="22"/>
        </w:rPr>
        <w:t>.</w:t>
      </w:r>
      <w:r w:rsidRPr="00E81960">
        <w:rPr>
          <w:rFonts w:ascii="Arial Narrow" w:hAnsi="Arial Narrow" w:cs="Arial"/>
          <w:b/>
          <w:iCs/>
          <w:noProof/>
          <w:color w:val="1F497D" w:themeColor="text2"/>
          <w:sz w:val="22"/>
          <w:szCs w:val="22"/>
        </w:rPr>
        <w:t xml:space="preserve"> </w:t>
      </w:r>
      <w:r>
        <w:rPr>
          <w:rFonts w:ascii="Arial Narrow" w:hAnsi="Arial Narrow"/>
          <w:b/>
          <w:bCs/>
          <w:color w:val="1F497D"/>
          <w:sz w:val="22"/>
          <w:szCs w:val="22"/>
        </w:rPr>
        <w:t>MATRIMONI RELIGIOSI</w:t>
      </w:r>
      <w:r w:rsidR="000E7DFF">
        <w:rPr>
          <w:rFonts w:ascii="Arial Narrow" w:hAnsi="Arial Narrow"/>
          <w:b/>
          <w:bCs/>
          <w:color w:val="1F497D"/>
          <w:sz w:val="22"/>
          <w:szCs w:val="22"/>
        </w:rPr>
        <w:t xml:space="preserve"> E</w:t>
      </w:r>
      <w:r>
        <w:rPr>
          <w:rFonts w:ascii="Arial Narrow" w:hAnsi="Arial Narrow"/>
          <w:b/>
          <w:bCs/>
          <w:color w:val="1F497D"/>
          <w:sz w:val="22"/>
          <w:szCs w:val="22"/>
        </w:rPr>
        <w:t xml:space="preserve"> MATRIMONI CIVILI PER GIORNO DI CELEBRAZIONE. </w:t>
      </w:r>
      <w:r>
        <w:rPr>
          <w:rFonts w:ascii="Arial Narrow" w:hAnsi="Arial Narrow"/>
          <w:color w:val="1F497D"/>
          <w:sz w:val="22"/>
          <w:szCs w:val="22"/>
        </w:rPr>
        <w:t xml:space="preserve">Anno 2022, valori assoluti </w:t>
      </w:r>
    </w:p>
    <w:p w14:paraId="62DBA8E9" w14:textId="429F8FFE" w:rsidR="007A1F0B" w:rsidRPr="00355C9D" w:rsidRDefault="007A1F0B" w:rsidP="00355C9D">
      <w:pPr>
        <w:autoSpaceDE w:val="0"/>
        <w:autoSpaceDN w:val="0"/>
        <w:adjustRightInd w:val="0"/>
        <w:jc w:val="both"/>
        <w:rPr>
          <w:rFonts w:ascii="Arial Narrow" w:hAnsi="Arial Narrow"/>
          <w:color w:val="1F497D"/>
          <w:sz w:val="22"/>
          <w:szCs w:val="22"/>
        </w:rPr>
      </w:pPr>
    </w:p>
    <w:p w14:paraId="39701C90" w14:textId="1AF08846" w:rsidR="00865102" w:rsidRPr="001928F4" w:rsidRDefault="00A1185F" w:rsidP="00865102">
      <w:pPr>
        <w:spacing w:after="120"/>
        <w:rPr>
          <w:rFonts w:ascii="Arial" w:hAnsi="Arial" w:cs="Arial"/>
          <w:bCs/>
          <w:color w:val="1F497D" w:themeColor="text2"/>
          <w:sz w:val="22"/>
          <w:szCs w:val="22"/>
          <w:highlight w:val="green"/>
        </w:rPr>
      </w:pPr>
      <w:r w:rsidRPr="004A41BC">
        <w:rPr>
          <w:rFonts w:ascii="Arial Narrow" w:hAnsi="Arial Narrow"/>
          <w:noProof/>
        </w:rPr>
        <w:drawing>
          <wp:inline distT="0" distB="0" distL="0" distR="0" wp14:anchorId="18A8959C" wp14:editId="37D327BD">
            <wp:extent cx="6290310" cy="2219325"/>
            <wp:effectExtent l="0" t="0" r="0" b="0"/>
            <wp:docPr id="40" name="Gra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B96164" w14:textId="0A102A11" w:rsidR="00C74129" w:rsidRPr="001928F4" w:rsidRDefault="00C74129" w:rsidP="00865102">
      <w:pPr>
        <w:spacing w:after="120"/>
        <w:rPr>
          <w:rFonts w:ascii="Arial" w:hAnsi="Arial" w:cs="Arial"/>
          <w:bCs/>
          <w:color w:val="1F497D" w:themeColor="text2"/>
          <w:sz w:val="22"/>
          <w:szCs w:val="22"/>
          <w:highlight w:val="green"/>
        </w:rPr>
      </w:pPr>
    </w:p>
    <w:p w14:paraId="5C7136B8" w14:textId="6060FC3C" w:rsidR="00865102" w:rsidRDefault="00865102" w:rsidP="00865102">
      <w:pPr>
        <w:spacing w:after="120"/>
        <w:rPr>
          <w:rFonts w:ascii="Arial" w:hAnsi="Arial" w:cs="Arial"/>
          <w:sz w:val="22"/>
          <w:szCs w:val="22"/>
        </w:rPr>
      </w:pPr>
      <w:r w:rsidRPr="00477277">
        <w:rPr>
          <w:rFonts w:ascii="Arial" w:hAnsi="Arial" w:cs="Arial"/>
          <w:b/>
          <w:color w:val="1F497D" w:themeColor="text2"/>
          <w:sz w:val="26"/>
          <w:szCs w:val="26"/>
        </w:rPr>
        <w:t>Età più matura per chi si unisce civilmente</w:t>
      </w:r>
    </w:p>
    <w:p w14:paraId="7E4D25E1" w14:textId="13FE7480" w:rsidR="00865102" w:rsidRPr="00E42BAB" w:rsidRDefault="00865102" w:rsidP="00865102">
      <w:pPr>
        <w:spacing w:after="120"/>
        <w:jc w:val="both"/>
        <w:rPr>
          <w:rFonts w:ascii="Arial" w:hAnsi="Arial" w:cs="Arial"/>
          <w:sz w:val="22"/>
          <w:szCs w:val="22"/>
        </w:rPr>
      </w:pPr>
      <w:r w:rsidRPr="00E42BAB">
        <w:rPr>
          <w:rFonts w:ascii="Arial" w:hAnsi="Arial" w:cs="Arial"/>
          <w:sz w:val="22"/>
          <w:szCs w:val="22"/>
        </w:rPr>
        <w:t xml:space="preserve">Fino al 2019 gli uniti civilmente </w:t>
      </w:r>
      <w:r w:rsidR="00C35880">
        <w:rPr>
          <w:rFonts w:ascii="Arial" w:hAnsi="Arial" w:cs="Arial"/>
          <w:sz w:val="22"/>
          <w:szCs w:val="22"/>
        </w:rPr>
        <w:t xml:space="preserve">hanno </w:t>
      </w:r>
      <w:r w:rsidRPr="00E42BAB">
        <w:rPr>
          <w:rFonts w:ascii="Arial" w:hAnsi="Arial" w:cs="Arial"/>
          <w:sz w:val="22"/>
          <w:szCs w:val="22"/>
        </w:rPr>
        <w:t>evidenzia</w:t>
      </w:r>
      <w:r w:rsidR="00C35880">
        <w:rPr>
          <w:rFonts w:ascii="Arial" w:hAnsi="Arial" w:cs="Arial"/>
          <w:sz w:val="22"/>
          <w:szCs w:val="22"/>
        </w:rPr>
        <w:t>to una struttura per età i</w:t>
      </w:r>
      <w:r w:rsidRPr="00E42BAB">
        <w:rPr>
          <w:rFonts w:ascii="Arial" w:hAnsi="Arial" w:cs="Arial"/>
          <w:sz w:val="22"/>
          <w:szCs w:val="22"/>
        </w:rPr>
        <w:t xml:space="preserve">n progressivo “ringiovanimento” rispetto al biennio 2016-2017. L’introduzione nel nostro ordinamento di questo istituto giuridico, infatti, ha consentito inizialmente a coppie anche in età più avanzata - che da tempo aspettavano tale possibilità - di ufficializzare la propria famiglia e da qui il profilo più maturo che </w:t>
      </w:r>
      <w:r w:rsidR="00C35880">
        <w:rPr>
          <w:rFonts w:ascii="Arial" w:hAnsi="Arial" w:cs="Arial"/>
          <w:sz w:val="22"/>
          <w:szCs w:val="22"/>
        </w:rPr>
        <w:t>aveva</w:t>
      </w:r>
      <w:r w:rsidRPr="00E42BAB">
        <w:rPr>
          <w:rFonts w:ascii="Arial" w:hAnsi="Arial" w:cs="Arial"/>
          <w:sz w:val="22"/>
          <w:szCs w:val="22"/>
        </w:rPr>
        <w:t xml:space="preserve"> contraddistinto questa prima fase (con un’età media superiore ai 49 anni </w:t>
      </w:r>
      <w:r w:rsidR="00C35880">
        <w:rPr>
          <w:rFonts w:ascii="Arial" w:hAnsi="Arial" w:cs="Arial"/>
          <w:sz w:val="22"/>
          <w:szCs w:val="22"/>
        </w:rPr>
        <w:t xml:space="preserve">per gli uomini </w:t>
      </w:r>
      <w:r w:rsidRPr="00E42BAB">
        <w:rPr>
          <w:rFonts w:ascii="Arial" w:hAnsi="Arial" w:cs="Arial"/>
          <w:sz w:val="22"/>
          <w:szCs w:val="22"/>
        </w:rPr>
        <w:t>e intorno ai 46 anni</w:t>
      </w:r>
      <w:r w:rsidR="00C35880">
        <w:rPr>
          <w:rFonts w:ascii="Arial" w:hAnsi="Arial" w:cs="Arial"/>
          <w:sz w:val="22"/>
          <w:szCs w:val="22"/>
        </w:rPr>
        <w:t xml:space="preserve"> per le donne</w:t>
      </w:r>
      <w:r w:rsidRPr="00E42BAB">
        <w:rPr>
          <w:rFonts w:ascii="Arial" w:hAnsi="Arial" w:cs="Arial"/>
          <w:sz w:val="22"/>
          <w:szCs w:val="22"/>
        </w:rPr>
        <w:t xml:space="preserve">). Negli anni a seguire il profilo per età delle unioni si è progressivamente ringiovanito (nel 2019 l’età media degli uomini era </w:t>
      </w:r>
      <w:r w:rsidR="00C35880">
        <w:rPr>
          <w:rFonts w:ascii="Arial" w:hAnsi="Arial" w:cs="Arial"/>
          <w:sz w:val="22"/>
          <w:szCs w:val="22"/>
        </w:rPr>
        <w:t xml:space="preserve">di </w:t>
      </w:r>
      <w:r w:rsidRPr="00E42BAB">
        <w:rPr>
          <w:rFonts w:ascii="Arial" w:hAnsi="Arial" w:cs="Arial"/>
          <w:sz w:val="22"/>
          <w:szCs w:val="22"/>
        </w:rPr>
        <w:t>44,5 anni</w:t>
      </w:r>
      <w:r w:rsidR="00C35880">
        <w:rPr>
          <w:rFonts w:ascii="Arial" w:hAnsi="Arial" w:cs="Arial"/>
          <w:sz w:val="22"/>
          <w:szCs w:val="22"/>
        </w:rPr>
        <w:t>,</w:t>
      </w:r>
      <w:r w:rsidRPr="00E42BAB">
        <w:rPr>
          <w:rFonts w:ascii="Arial" w:hAnsi="Arial" w:cs="Arial"/>
          <w:sz w:val="22"/>
          <w:szCs w:val="22"/>
        </w:rPr>
        <w:t xml:space="preserve"> delle donne </w:t>
      </w:r>
      <w:r w:rsidR="00C35880">
        <w:rPr>
          <w:rFonts w:ascii="Arial" w:hAnsi="Arial" w:cs="Arial"/>
          <w:sz w:val="22"/>
          <w:szCs w:val="22"/>
        </w:rPr>
        <w:t xml:space="preserve">di </w:t>
      </w:r>
      <w:r w:rsidRPr="00E42BAB">
        <w:rPr>
          <w:rFonts w:ascii="Arial" w:hAnsi="Arial" w:cs="Arial"/>
          <w:sz w:val="22"/>
          <w:szCs w:val="22"/>
        </w:rPr>
        <w:t xml:space="preserve">39,6). </w:t>
      </w:r>
    </w:p>
    <w:p w14:paraId="627B8DEB" w14:textId="3F1F8BA4" w:rsidR="00865102" w:rsidRDefault="00865102" w:rsidP="004171DF">
      <w:pPr>
        <w:spacing w:after="120"/>
        <w:jc w:val="both"/>
        <w:rPr>
          <w:rFonts w:ascii="Arial" w:hAnsi="Arial" w:cs="Arial"/>
          <w:sz w:val="22"/>
          <w:szCs w:val="22"/>
        </w:rPr>
      </w:pPr>
      <w:r w:rsidRPr="00E42BAB">
        <w:rPr>
          <w:rFonts w:ascii="Arial" w:hAnsi="Arial" w:cs="Arial"/>
          <w:sz w:val="22"/>
          <w:szCs w:val="22"/>
        </w:rPr>
        <w:t>Nell’anno della pandemia, tuttavia, l’età media all’unione civile cresce in misura eccezionale: 47,2 anni per gli uomini (</w:t>
      </w:r>
      <w:r w:rsidR="005666EF">
        <w:rPr>
          <w:rFonts w:ascii="Arial" w:hAnsi="Arial" w:cs="Arial"/>
          <w:sz w:val="22"/>
          <w:szCs w:val="22"/>
        </w:rPr>
        <w:t>quasi 3 anni in più)</w:t>
      </w:r>
      <w:r w:rsidRPr="00E42BAB">
        <w:rPr>
          <w:rFonts w:ascii="Arial" w:hAnsi="Arial" w:cs="Arial"/>
          <w:sz w:val="22"/>
          <w:szCs w:val="22"/>
        </w:rPr>
        <w:t xml:space="preserve"> e 41,8 per le donne (</w:t>
      </w:r>
      <w:r w:rsidR="005666EF">
        <w:rPr>
          <w:rFonts w:ascii="Arial" w:hAnsi="Arial" w:cs="Arial"/>
          <w:sz w:val="22"/>
          <w:szCs w:val="22"/>
        </w:rPr>
        <w:t xml:space="preserve">oltre </w:t>
      </w:r>
      <w:r w:rsidRPr="00E42BAB">
        <w:rPr>
          <w:rFonts w:ascii="Arial" w:hAnsi="Arial" w:cs="Arial"/>
          <w:sz w:val="22"/>
          <w:szCs w:val="22"/>
        </w:rPr>
        <w:t>2 anni</w:t>
      </w:r>
      <w:r w:rsidR="005666EF">
        <w:rPr>
          <w:rFonts w:ascii="Arial" w:hAnsi="Arial" w:cs="Arial"/>
          <w:sz w:val="22"/>
          <w:szCs w:val="22"/>
        </w:rPr>
        <w:t xml:space="preserve"> in più</w:t>
      </w:r>
      <w:r w:rsidRPr="00E42BAB">
        <w:rPr>
          <w:rFonts w:ascii="Arial" w:hAnsi="Arial" w:cs="Arial"/>
          <w:sz w:val="22"/>
          <w:szCs w:val="22"/>
        </w:rPr>
        <w:t xml:space="preserve">). Nel 2022 </w:t>
      </w:r>
      <w:r w:rsidR="00C35880">
        <w:rPr>
          <w:rFonts w:ascii="Arial" w:hAnsi="Arial" w:cs="Arial"/>
          <w:sz w:val="22"/>
          <w:szCs w:val="22"/>
        </w:rPr>
        <w:t>prende avvio un</w:t>
      </w:r>
      <w:r w:rsidRPr="00E42BAB">
        <w:rPr>
          <w:rFonts w:ascii="Arial" w:hAnsi="Arial" w:cs="Arial"/>
          <w:sz w:val="22"/>
          <w:szCs w:val="22"/>
        </w:rPr>
        <w:t xml:space="preserve"> nuovo </w:t>
      </w:r>
      <w:r w:rsidRPr="003A36C5">
        <w:rPr>
          <w:rFonts w:ascii="Arial" w:hAnsi="Arial" w:cs="Arial"/>
          <w:i/>
          <w:iCs/>
          <w:sz w:val="22"/>
          <w:szCs w:val="22"/>
        </w:rPr>
        <w:t>trend</w:t>
      </w:r>
      <w:r w:rsidRPr="00E42BAB">
        <w:rPr>
          <w:rFonts w:ascii="Arial" w:hAnsi="Arial" w:cs="Arial"/>
          <w:sz w:val="22"/>
          <w:szCs w:val="22"/>
        </w:rPr>
        <w:t xml:space="preserve"> di ringiovanimento, </w:t>
      </w:r>
      <w:r w:rsidR="00C35880">
        <w:rPr>
          <w:rFonts w:ascii="Arial" w:hAnsi="Arial" w:cs="Arial"/>
          <w:sz w:val="22"/>
          <w:szCs w:val="22"/>
        </w:rPr>
        <w:t xml:space="preserve">che fa scendere l’età media all’unione </w:t>
      </w:r>
      <w:r w:rsidRPr="00E42BAB">
        <w:rPr>
          <w:rFonts w:ascii="Arial" w:hAnsi="Arial" w:cs="Arial"/>
          <w:sz w:val="22"/>
          <w:szCs w:val="22"/>
        </w:rPr>
        <w:t xml:space="preserve">a 45,9 anni </w:t>
      </w:r>
      <w:r w:rsidR="00C35880">
        <w:rPr>
          <w:rFonts w:ascii="Arial" w:hAnsi="Arial" w:cs="Arial"/>
          <w:sz w:val="22"/>
          <w:szCs w:val="22"/>
        </w:rPr>
        <w:t>tra</w:t>
      </w:r>
      <w:r w:rsidRPr="00E42BAB">
        <w:rPr>
          <w:rFonts w:ascii="Arial" w:hAnsi="Arial" w:cs="Arial"/>
          <w:sz w:val="22"/>
          <w:szCs w:val="22"/>
        </w:rPr>
        <w:t xml:space="preserve"> gli uomini e </w:t>
      </w:r>
      <w:r w:rsidR="00C35880">
        <w:rPr>
          <w:rFonts w:ascii="Arial" w:hAnsi="Arial" w:cs="Arial"/>
          <w:sz w:val="22"/>
          <w:szCs w:val="22"/>
        </w:rPr>
        <w:t xml:space="preserve">a </w:t>
      </w:r>
      <w:r w:rsidRPr="00E42BAB">
        <w:rPr>
          <w:rFonts w:ascii="Arial" w:hAnsi="Arial" w:cs="Arial"/>
          <w:sz w:val="22"/>
          <w:szCs w:val="22"/>
        </w:rPr>
        <w:t>38,6 anni</w:t>
      </w:r>
      <w:r w:rsidR="00C35880">
        <w:rPr>
          <w:rFonts w:ascii="Arial" w:hAnsi="Arial" w:cs="Arial"/>
          <w:sz w:val="22"/>
          <w:szCs w:val="22"/>
        </w:rPr>
        <w:t xml:space="preserve"> tra</w:t>
      </w:r>
      <w:r w:rsidRPr="00E42BAB">
        <w:rPr>
          <w:rFonts w:ascii="Arial" w:hAnsi="Arial" w:cs="Arial"/>
          <w:sz w:val="22"/>
          <w:szCs w:val="22"/>
        </w:rPr>
        <w:t xml:space="preserve"> le donne.</w:t>
      </w:r>
    </w:p>
    <w:p w14:paraId="05FA2356" w14:textId="206B3C08" w:rsidR="004E69CC" w:rsidRPr="00E42BAB" w:rsidRDefault="004E69CC" w:rsidP="004171DF">
      <w:pPr>
        <w:spacing w:after="120"/>
        <w:jc w:val="both"/>
        <w:rPr>
          <w:rFonts w:ascii="Arial" w:hAnsi="Arial" w:cs="Arial"/>
          <w:sz w:val="22"/>
          <w:szCs w:val="22"/>
        </w:rPr>
      </w:pPr>
      <w:r w:rsidRPr="00E42BAB">
        <w:rPr>
          <w:rFonts w:ascii="Arial" w:hAnsi="Arial" w:cs="Arial"/>
          <w:sz w:val="22"/>
          <w:szCs w:val="22"/>
        </w:rPr>
        <w:t>Nel 202</w:t>
      </w:r>
      <w:r w:rsidR="00B24689" w:rsidRPr="00E42BAB">
        <w:rPr>
          <w:rFonts w:ascii="Arial" w:hAnsi="Arial" w:cs="Arial"/>
          <w:sz w:val="22"/>
          <w:szCs w:val="22"/>
        </w:rPr>
        <w:t xml:space="preserve">2 la quota degli uomini con </w:t>
      </w:r>
      <w:r w:rsidRPr="00E42BAB">
        <w:rPr>
          <w:rFonts w:ascii="Arial" w:hAnsi="Arial" w:cs="Arial"/>
          <w:sz w:val="22"/>
          <w:szCs w:val="22"/>
        </w:rPr>
        <w:t>meno</w:t>
      </w:r>
      <w:r w:rsidR="00B24689" w:rsidRPr="00E42BAB">
        <w:rPr>
          <w:rFonts w:ascii="Arial" w:hAnsi="Arial" w:cs="Arial"/>
          <w:sz w:val="22"/>
          <w:szCs w:val="22"/>
        </w:rPr>
        <w:t xml:space="preserve"> di</w:t>
      </w:r>
      <w:r w:rsidRPr="00E42BAB">
        <w:rPr>
          <w:rFonts w:ascii="Arial" w:hAnsi="Arial" w:cs="Arial"/>
          <w:sz w:val="22"/>
          <w:szCs w:val="22"/>
        </w:rPr>
        <w:t xml:space="preserve"> </w:t>
      </w:r>
      <w:r w:rsidR="00481305" w:rsidRPr="00E42BAB">
        <w:rPr>
          <w:rFonts w:ascii="Arial" w:hAnsi="Arial" w:cs="Arial"/>
          <w:sz w:val="22"/>
          <w:szCs w:val="22"/>
        </w:rPr>
        <w:t>4</w:t>
      </w:r>
      <w:r w:rsidRPr="00E42BAB">
        <w:rPr>
          <w:rFonts w:ascii="Arial" w:hAnsi="Arial" w:cs="Arial"/>
          <w:sz w:val="22"/>
          <w:szCs w:val="22"/>
        </w:rPr>
        <w:t>0 anni che si unisc</w:t>
      </w:r>
      <w:r w:rsidR="00C35880">
        <w:rPr>
          <w:rFonts w:ascii="Arial" w:hAnsi="Arial" w:cs="Arial"/>
          <w:sz w:val="22"/>
          <w:szCs w:val="22"/>
        </w:rPr>
        <w:t>e</w:t>
      </w:r>
      <w:r w:rsidRPr="00E42BAB">
        <w:rPr>
          <w:rFonts w:ascii="Arial" w:hAnsi="Arial" w:cs="Arial"/>
          <w:sz w:val="22"/>
          <w:szCs w:val="22"/>
        </w:rPr>
        <w:t xml:space="preserve"> </w:t>
      </w:r>
      <w:r w:rsidR="00903B09" w:rsidRPr="00E42BAB">
        <w:rPr>
          <w:rFonts w:ascii="Arial" w:hAnsi="Arial" w:cs="Arial"/>
          <w:sz w:val="22"/>
          <w:szCs w:val="22"/>
        </w:rPr>
        <w:t xml:space="preserve">civilmente </w:t>
      </w:r>
      <w:r w:rsidRPr="00E42BAB">
        <w:rPr>
          <w:rFonts w:ascii="Arial" w:hAnsi="Arial" w:cs="Arial"/>
          <w:sz w:val="22"/>
          <w:szCs w:val="22"/>
        </w:rPr>
        <w:t>è pari a</w:t>
      </w:r>
      <w:r w:rsidR="00E074A9" w:rsidRPr="00E42BAB">
        <w:rPr>
          <w:rFonts w:ascii="Arial" w:hAnsi="Arial" w:cs="Arial"/>
          <w:sz w:val="22"/>
          <w:szCs w:val="22"/>
        </w:rPr>
        <w:t>l</w:t>
      </w:r>
      <w:r w:rsidRPr="00E42BAB">
        <w:rPr>
          <w:rFonts w:ascii="Arial" w:hAnsi="Arial" w:cs="Arial"/>
          <w:sz w:val="22"/>
          <w:szCs w:val="22"/>
        </w:rPr>
        <w:t xml:space="preserve"> 3</w:t>
      </w:r>
      <w:r w:rsidR="00B24689" w:rsidRPr="00E42BAB">
        <w:rPr>
          <w:rFonts w:ascii="Arial" w:hAnsi="Arial" w:cs="Arial"/>
          <w:sz w:val="22"/>
          <w:szCs w:val="22"/>
        </w:rPr>
        <w:t>7</w:t>
      </w:r>
      <w:r w:rsidRPr="00E42BAB">
        <w:rPr>
          <w:rFonts w:ascii="Arial" w:hAnsi="Arial" w:cs="Arial"/>
          <w:sz w:val="22"/>
          <w:szCs w:val="22"/>
        </w:rPr>
        <w:t>,</w:t>
      </w:r>
      <w:r w:rsidR="00B24689" w:rsidRPr="00E42BAB">
        <w:rPr>
          <w:rFonts w:ascii="Arial" w:hAnsi="Arial" w:cs="Arial"/>
          <w:sz w:val="22"/>
          <w:szCs w:val="22"/>
        </w:rPr>
        <w:t>4</w:t>
      </w:r>
      <w:r w:rsidRPr="00E42BAB">
        <w:rPr>
          <w:rFonts w:ascii="Arial" w:hAnsi="Arial" w:cs="Arial"/>
          <w:sz w:val="22"/>
          <w:szCs w:val="22"/>
        </w:rPr>
        <w:t>%, ben al di so</w:t>
      </w:r>
      <w:r w:rsidR="00481305" w:rsidRPr="00E42BAB">
        <w:rPr>
          <w:rFonts w:ascii="Arial" w:hAnsi="Arial" w:cs="Arial"/>
          <w:sz w:val="22"/>
          <w:szCs w:val="22"/>
        </w:rPr>
        <w:t>pra</w:t>
      </w:r>
      <w:r w:rsidRPr="00E42BAB">
        <w:rPr>
          <w:rFonts w:ascii="Arial" w:hAnsi="Arial" w:cs="Arial"/>
          <w:sz w:val="22"/>
          <w:szCs w:val="22"/>
        </w:rPr>
        <w:t xml:space="preserve"> del </w:t>
      </w:r>
      <w:r w:rsidR="00481305" w:rsidRPr="00E42BAB">
        <w:rPr>
          <w:rFonts w:ascii="Arial" w:hAnsi="Arial" w:cs="Arial"/>
          <w:sz w:val="22"/>
          <w:szCs w:val="22"/>
        </w:rPr>
        <w:t>21</w:t>
      </w:r>
      <w:r w:rsidRPr="00E42BAB">
        <w:rPr>
          <w:rFonts w:ascii="Arial" w:hAnsi="Arial" w:cs="Arial"/>
          <w:sz w:val="22"/>
          <w:szCs w:val="22"/>
        </w:rPr>
        <w:t>,6% del 2020</w:t>
      </w:r>
      <w:r w:rsidR="00C35880">
        <w:rPr>
          <w:rFonts w:ascii="Arial" w:hAnsi="Arial" w:cs="Arial"/>
          <w:sz w:val="22"/>
          <w:szCs w:val="22"/>
        </w:rPr>
        <w:t xml:space="preserve">, per quanto </w:t>
      </w:r>
      <w:r w:rsidR="00903B09" w:rsidRPr="00E42BAB">
        <w:rPr>
          <w:rFonts w:ascii="Arial" w:hAnsi="Arial" w:cs="Arial"/>
          <w:sz w:val="22"/>
          <w:szCs w:val="22"/>
        </w:rPr>
        <w:t xml:space="preserve">ancora </w:t>
      </w:r>
      <w:r w:rsidR="00481305" w:rsidRPr="00E42BAB">
        <w:rPr>
          <w:rFonts w:ascii="Arial" w:hAnsi="Arial" w:cs="Arial"/>
          <w:sz w:val="22"/>
          <w:szCs w:val="22"/>
        </w:rPr>
        <w:t>inferiore</w:t>
      </w:r>
      <w:r w:rsidRPr="00E42BAB">
        <w:rPr>
          <w:rFonts w:ascii="Arial" w:hAnsi="Arial" w:cs="Arial"/>
          <w:sz w:val="22"/>
          <w:szCs w:val="22"/>
        </w:rPr>
        <w:t xml:space="preserve"> ai livelli pre-pandemici (</w:t>
      </w:r>
      <w:r w:rsidR="00481305" w:rsidRPr="00E42BAB">
        <w:rPr>
          <w:rFonts w:ascii="Arial" w:hAnsi="Arial" w:cs="Arial"/>
          <w:sz w:val="22"/>
          <w:szCs w:val="22"/>
        </w:rPr>
        <w:t>40</w:t>
      </w:r>
      <w:r w:rsidRPr="00E42BAB">
        <w:rPr>
          <w:rFonts w:ascii="Arial" w:hAnsi="Arial" w:cs="Arial"/>
          <w:sz w:val="22"/>
          <w:szCs w:val="22"/>
        </w:rPr>
        <w:t>,</w:t>
      </w:r>
      <w:r w:rsidR="00481305" w:rsidRPr="00E42BAB">
        <w:rPr>
          <w:rFonts w:ascii="Arial" w:hAnsi="Arial" w:cs="Arial"/>
          <w:sz w:val="22"/>
          <w:szCs w:val="22"/>
        </w:rPr>
        <w:t>3</w:t>
      </w:r>
      <w:r w:rsidRPr="00E42BAB">
        <w:rPr>
          <w:rFonts w:ascii="Arial" w:hAnsi="Arial" w:cs="Arial"/>
          <w:sz w:val="22"/>
          <w:szCs w:val="22"/>
        </w:rPr>
        <w:t>% nel 2019).</w:t>
      </w:r>
    </w:p>
    <w:p w14:paraId="150E11DD" w14:textId="23B89CBA" w:rsidR="00184584" w:rsidRPr="00E42BAB" w:rsidRDefault="00184584" w:rsidP="004171DF">
      <w:pPr>
        <w:spacing w:after="120"/>
        <w:jc w:val="both"/>
        <w:outlineLvl w:val="0"/>
        <w:rPr>
          <w:rFonts w:ascii="Arial" w:hAnsi="Arial" w:cs="Arial"/>
          <w:sz w:val="22"/>
          <w:szCs w:val="22"/>
        </w:rPr>
      </w:pPr>
      <w:r w:rsidRPr="00E42BAB">
        <w:rPr>
          <w:rFonts w:ascii="Arial" w:hAnsi="Arial" w:cs="Arial"/>
          <w:sz w:val="22"/>
          <w:szCs w:val="22"/>
        </w:rPr>
        <w:t>Per le donne nel 202</w:t>
      </w:r>
      <w:r w:rsidR="00B24689" w:rsidRPr="00E42BAB">
        <w:rPr>
          <w:rFonts w:ascii="Arial" w:hAnsi="Arial" w:cs="Arial"/>
          <w:sz w:val="22"/>
          <w:szCs w:val="22"/>
        </w:rPr>
        <w:t>2</w:t>
      </w:r>
      <w:r w:rsidRPr="00E42BAB">
        <w:rPr>
          <w:rFonts w:ascii="Arial" w:hAnsi="Arial" w:cs="Arial"/>
          <w:sz w:val="22"/>
          <w:szCs w:val="22"/>
        </w:rPr>
        <w:t xml:space="preserve"> si consolida il processo di ringiovanimento già avviatosi nel periodo </w:t>
      </w:r>
      <w:r w:rsidR="00903B09" w:rsidRPr="00E42BAB">
        <w:rPr>
          <w:rFonts w:ascii="Arial" w:hAnsi="Arial" w:cs="Arial"/>
          <w:sz w:val="22"/>
          <w:szCs w:val="22"/>
        </w:rPr>
        <w:br/>
      </w:r>
      <w:r w:rsidRPr="00E42BAB">
        <w:rPr>
          <w:rFonts w:ascii="Arial" w:hAnsi="Arial" w:cs="Arial"/>
          <w:sz w:val="22"/>
          <w:szCs w:val="22"/>
        </w:rPr>
        <w:t>pre-pandemico, mettendo in evidenza che</w:t>
      </w:r>
      <w:r w:rsidR="009C1D19" w:rsidRPr="00E42BAB">
        <w:rPr>
          <w:rFonts w:ascii="Arial" w:hAnsi="Arial" w:cs="Arial"/>
          <w:sz w:val="22"/>
          <w:szCs w:val="22"/>
        </w:rPr>
        <w:t xml:space="preserve"> ben</w:t>
      </w:r>
      <w:r w:rsidRPr="00E42BAB">
        <w:rPr>
          <w:rFonts w:ascii="Arial" w:hAnsi="Arial" w:cs="Arial"/>
          <w:sz w:val="22"/>
          <w:szCs w:val="22"/>
        </w:rPr>
        <w:t xml:space="preserve"> oltre la metà di esse (5</w:t>
      </w:r>
      <w:r w:rsidR="009C1D19" w:rsidRPr="00E42BAB">
        <w:rPr>
          <w:rFonts w:ascii="Arial" w:hAnsi="Arial" w:cs="Arial"/>
          <w:sz w:val="22"/>
          <w:szCs w:val="22"/>
        </w:rPr>
        <w:t>8</w:t>
      </w:r>
      <w:r w:rsidRPr="00E42BAB">
        <w:rPr>
          <w:rFonts w:ascii="Arial" w:hAnsi="Arial" w:cs="Arial"/>
          <w:sz w:val="22"/>
          <w:szCs w:val="22"/>
        </w:rPr>
        <w:t>,</w:t>
      </w:r>
      <w:r w:rsidR="009C1D19" w:rsidRPr="00E42BAB">
        <w:rPr>
          <w:rFonts w:ascii="Arial" w:hAnsi="Arial" w:cs="Arial"/>
          <w:sz w:val="22"/>
          <w:szCs w:val="22"/>
        </w:rPr>
        <w:t>3</w:t>
      </w:r>
      <w:r w:rsidRPr="00E42BAB">
        <w:rPr>
          <w:rFonts w:ascii="Arial" w:hAnsi="Arial" w:cs="Arial"/>
          <w:sz w:val="22"/>
          <w:szCs w:val="22"/>
        </w:rPr>
        <w:t>%) ha meno di 40 anni</w:t>
      </w:r>
      <w:r w:rsidR="004E69CC" w:rsidRPr="00E42BAB">
        <w:rPr>
          <w:rFonts w:ascii="Arial" w:hAnsi="Arial" w:cs="Arial"/>
          <w:sz w:val="22"/>
          <w:szCs w:val="22"/>
        </w:rPr>
        <w:t xml:space="preserve"> (51,8% del 2019)</w:t>
      </w:r>
      <w:r w:rsidRPr="00E42BAB">
        <w:rPr>
          <w:rFonts w:ascii="Arial" w:hAnsi="Arial" w:cs="Arial"/>
          <w:sz w:val="22"/>
          <w:szCs w:val="22"/>
        </w:rPr>
        <w:t>.</w:t>
      </w:r>
    </w:p>
    <w:p w14:paraId="75F280C1" w14:textId="66FA5B08" w:rsidR="002D4E0D" w:rsidRPr="00477277" w:rsidRDefault="009422EB" w:rsidP="004171DF">
      <w:pPr>
        <w:spacing w:after="120"/>
        <w:jc w:val="both"/>
        <w:outlineLvl w:val="0"/>
        <w:rPr>
          <w:rFonts w:ascii="Arial" w:hAnsi="Arial" w:cs="Arial"/>
          <w:sz w:val="22"/>
          <w:szCs w:val="22"/>
        </w:rPr>
      </w:pPr>
      <w:r w:rsidRPr="00477277">
        <w:rPr>
          <w:rFonts w:ascii="Arial" w:hAnsi="Arial" w:cs="Arial"/>
          <w:sz w:val="22"/>
          <w:szCs w:val="22"/>
        </w:rPr>
        <w:t xml:space="preserve">La struttura per età di chi entra in unione </w:t>
      </w:r>
      <w:r w:rsidR="00204CF6" w:rsidRPr="00477277">
        <w:rPr>
          <w:rFonts w:ascii="Arial" w:hAnsi="Arial" w:cs="Arial"/>
          <w:sz w:val="22"/>
          <w:szCs w:val="22"/>
        </w:rPr>
        <w:t>è</w:t>
      </w:r>
      <w:r w:rsidRPr="00477277">
        <w:rPr>
          <w:rFonts w:ascii="Arial" w:hAnsi="Arial" w:cs="Arial"/>
          <w:sz w:val="22"/>
          <w:szCs w:val="22"/>
        </w:rPr>
        <w:t xml:space="preserve"> molto diversa da </w:t>
      </w:r>
      <w:r w:rsidR="00EF51C6" w:rsidRPr="00477277">
        <w:rPr>
          <w:rFonts w:ascii="Arial" w:hAnsi="Arial" w:cs="Arial"/>
          <w:sz w:val="22"/>
          <w:szCs w:val="22"/>
        </w:rPr>
        <w:t>quella di chi si sposa</w:t>
      </w:r>
      <w:r w:rsidR="0083287D" w:rsidRPr="00477277">
        <w:rPr>
          <w:rFonts w:ascii="Arial" w:hAnsi="Arial" w:cs="Arial"/>
          <w:sz w:val="22"/>
          <w:szCs w:val="22"/>
        </w:rPr>
        <w:t xml:space="preserve">, soprattutto </w:t>
      </w:r>
      <w:r w:rsidR="00303A23" w:rsidRPr="00477277">
        <w:rPr>
          <w:rFonts w:ascii="Arial" w:hAnsi="Arial" w:cs="Arial"/>
          <w:sz w:val="22"/>
          <w:szCs w:val="22"/>
        </w:rPr>
        <w:t>tra</w:t>
      </w:r>
      <w:r w:rsidR="0083287D" w:rsidRPr="00477277">
        <w:rPr>
          <w:rFonts w:ascii="Arial" w:hAnsi="Arial" w:cs="Arial"/>
          <w:sz w:val="22"/>
          <w:szCs w:val="22"/>
        </w:rPr>
        <w:t xml:space="preserve"> gli uomini</w:t>
      </w:r>
      <w:r w:rsidR="00504FA6" w:rsidRPr="00477277">
        <w:rPr>
          <w:rFonts w:ascii="Arial" w:hAnsi="Arial" w:cs="Arial"/>
          <w:sz w:val="22"/>
          <w:szCs w:val="22"/>
        </w:rPr>
        <w:t xml:space="preserve"> (Figura 6)</w:t>
      </w:r>
      <w:r w:rsidR="00EF51C6" w:rsidRPr="00477277">
        <w:rPr>
          <w:rFonts w:ascii="Arial" w:hAnsi="Arial" w:cs="Arial"/>
          <w:sz w:val="22"/>
          <w:szCs w:val="22"/>
        </w:rPr>
        <w:t xml:space="preserve">. </w:t>
      </w:r>
      <w:r w:rsidR="00184584" w:rsidRPr="00477277">
        <w:rPr>
          <w:rFonts w:ascii="Arial" w:hAnsi="Arial" w:cs="Arial"/>
          <w:sz w:val="22"/>
          <w:szCs w:val="22"/>
        </w:rPr>
        <w:t xml:space="preserve">La quota di </w:t>
      </w:r>
      <w:r w:rsidR="00FB13F8" w:rsidRPr="00477277">
        <w:rPr>
          <w:rFonts w:ascii="Arial" w:hAnsi="Arial" w:cs="Arial"/>
          <w:sz w:val="22"/>
          <w:szCs w:val="22"/>
        </w:rPr>
        <w:t xml:space="preserve">uomini che ha costituito un’unione civile </w:t>
      </w:r>
      <w:r w:rsidR="002D4E0D" w:rsidRPr="00477277">
        <w:rPr>
          <w:rFonts w:ascii="Arial" w:hAnsi="Arial" w:cs="Arial"/>
          <w:sz w:val="22"/>
          <w:szCs w:val="22"/>
        </w:rPr>
        <w:t xml:space="preserve">sotto i 40 anni </w:t>
      </w:r>
      <w:r w:rsidR="00C35880">
        <w:rPr>
          <w:rFonts w:ascii="Arial" w:hAnsi="Arial" w:cs="Arial"/>
          <w:sz w:val="22"/>
          <w:szCs w:val="22"/>
        </w:rPr>
        <w:t xml:space="preserve">di età </w:t>
      </w:r>
      <w:r w:rsidR="00184584" w:rsidRPr="00477277">
        <w:rPr>
          <w:rFonts w:ascii="Arial" w:hAnsi="Arial" w:cs="Arial"/>
          <w:sz w:val="22"/>
          <w:szCs w:val="22"/>
        </w:rPr>
        <w:t>è</w:t>
      </w:r>
      <w:r w:rsidR="002D4E0D" w:rsidRPr="00477277">
        <w:rPr>
          <w:rFonts w:ascii="Arial" w:hAnsi="Arial" w:cs="Arial"/>
          <w:sz w:val="22"/>
          <w:szCs w:val="22"/>
        </w:rPr>
        <w:t xml:space="preserve"> </w:t>
      </w:r>
      <w:r w:rsidR="00477277" w:rsidRPr="00477277">
        <w:rPr>
          <w:rFonts w:ascii="Arial" w:hAnsi="Arial" w:cs="Arial"/>
          <w:sz w:val="22"/>
          <w:szCs w:val="22"/>
        </w:rPr>
        <w:t>molto più bassa</w:t>
      </w:r>
      <w:r w:rsidR="002D4E0D" w:rsidRPr="00477277">
        <w:rPr>
          <w:rFonts w:ascii="Arial" w:hAnsi="Arial" w:cs="Arial"/>
          <w:sz w:val="22"/>
          <w:szCs w:val="22"/>
        </w:rPr>
        <w:t xml:space="preserve"> </w:t>
      </w:r>
      <w:r w:rsidR="00184584" w:rsidRPr="00477277">
        <w:rPr>
          <w:rFonts w:ascii="Arial" w:hAnsi="Arial" w:cs="Arial"/>
          <w:sz w:val="22"/>
          <w:szCs w:val="22"/>
        </w:rPr>
        <w:t xml:space="preserve">di quella osservata </w:t>
      </w:r>
      <w:r w:rsidR="00C35880">
        <w:rPr>
          <w:rFonts w:ascii="Arial" w:hAnsi="Arial" w:cs="Arial"/>
          <w:sz w:val="22"/>
          <w:szCs w:val="22"/>
        </w:rPr>
        <w:t>tra</w:t>
      </w:r>
      <w:r w:rsidR="00184584" w:rsidRPr="00477277">
        <w:rPr>
          <w:rFonts w:ascii="Arial" w:hAnsi="Arial" w:cs="Arial"/>
          <w:sz w:val="22"/>
          <w:szCs w:val="22"/>
        </w:rPr>
        <w:t xml:space="preserve"> </w:t>
      </w:r>
      <w:r w:rsidR="002D4E0D" w:rsidRPr="00477277">
        <w:rPr>
          <w:rFonts w:ascii="Arial" w:hAnsi="Arial" w:cs="Arial"/>
          <w:sz w:val="22"/>
          <w:szCs w:val="22"/>
        </w:rPr>
        <w:t>gli sposi (rispettivamente 3</w:t>
      </w:r>
      <w:r w:rsidR="00477277" w:rsidRPr="00477277">
        <w:rPr>
          <w:rFonts w:ascii="Arial" w:hAnsi="Arial" w:cs="Arial"/>
          <w:sz w:val="22"/>
          <w:szCs w:val="22"/>
        </w:rPr>
        <w:t>7</w:t>
      </w:r>
      <w:r w:rsidR="002D4E0D" w:rsidRPr="00477277">
        <w:rPr>
          <w:rFonts w:ascii="Arial" w:hAnsi="Arial" w:cs="Arial"/>
          <w:sz w:val="22"/>
          <w:szCs w:val="22"/>
        </w:rPr>
        <w:t>,</w:t>
      </w:r>
      <w:r w:rsidR="00477277" w:rsidRPr="00477277">
        <w:rPr>
          <w:rFonts w:ascii="Arial" w:hAnsi="Arial" w:cs="Arial"/>
          <w:sz w:val="22"/>
          <w:szCs w:val="22"/>
        </w:rPr>
        <w:t>4</w:t>
      </w:r>
      <w:r w:rsidR="002D4E0D" w:rsidRPr="00477277">
        <w:rPr>
          <w:rFonts w:ascii="Arial" w:hAnsi="Arial" w:cs="Arial"/>
          <w:sz w:val="22"/>
          <w:szCs w:val="22"/>
        </w:rPr>
        <w:t>% e 6</w:t>
      </w:r>
      <w:r w:rsidR="00477277" w:rsidRPr="00477277">
        <w:rPr>
          <w:rFonts w:ascii="Arial" w:hAnsi="Arial" w:cs="Arial"/>
          <w:sz w:val="22"/>
          <w:szCs w:val="22"/>
        </w:rPr>
        <w:t>1</w:t>
      </w:r>
      <w:r w:rsidR="002D4E0D" w:rsidRPr="00477277">
        <w:rPr>
          <w:rFonts w:ascii="Arial" w:hAnsi="Arial" w:cs="Arial"/>
          <w:sz w:val="22"/>
          <w:szCs w:val="22"/>
        </w:rPr>
        <w:t>,</w:t>
      </w:r>
      <w:r w:rsidR="00477277" w:rsidRPr="00477277">
        <w:rPr>
          <w:rFonts w:ascii="Arial" w:hAnsi="Arial" w:cs="Arial"/>
          <w:sz w:val="22"/>
          <w:szCs w:val="22"/>
        </w:rPr>
        <w:t>2</w:t>
      </w:r>
      <w:r w:rsidR="002D4E0D" w:rsidRPr="00477277">
        <w:rPr>
          <w:rFonts w:ascii="Arial" w:hAnsi="Arial" w:cs="Arial"/>
          <w:sz w:val="22"/>
          <w:szCs w:val="22"/>
        </w:rPr>
        <w:t>%). In altre parole, gli uniti civilmente presentano valori consistenti di unioni in classi di età in cui i matrimoni solitamente cominciano a diradarsi.</w:t>
      </w:r>
    </w:p>
    <w:p w14:paraId="1C2423E5" w14:textId="25766008" w:rsidR="0028596C" w:rsidRDefault="00A9566F" w:rsidP="004171DF">
      <w:pPr>
        <w:spacing w:after="120"/>
        <w:jc w:val="both"/>
        <w:outlineLvl w:val="0"/>
        <w:rPr>
          <w:rFonts w:ascii="Arial" w:hAnsi="Arial" w:cs="Arial"/>
          <w:sz w:val="22"/>
          <w:szCs w:val="22"/>
        </w:rPr>
      </w:pPr>
      <w:r w:rsidRPr="00477277">
        <w:rPr>
          <w:rFonts w:ascii="Arial" w:hAnsi="Arial" w:cs="Arial"/>
          <w:sz w:val="22"/>
          <w:szCs w:val="22"/>
        </w:rPr>
        <w:t>Nel 202</w:t>
      </w:r>
      <w:r w:rsidR="00477277" w:rsidRPr="00477277">
        <w:rPr>
          <w:rFonts w:ascii="Arial" w:hAnsi="Arial" w:cs="Arial"/>
          <w:sz w:val="22"/>
          <w:szCs w:val="22"/>
        </w:rPr>
        <w:t>2</w:t>
      </w:r>
      <w:r w:rsidRPr="00477277">
        <w:rPr>
          <w:rFonts w:ascii="Arial" w:hAnsi="Arial" w:cs="Arial"/>
          <w:sz w:val="22"/>
          <w:szCs w:val="22"/>
        </w:rPr>
        <w:t xml:space="preserve"> p</w:t>
      </w:r>
      <w:r w:rsidR="002D4E0D" w:rsidRPr="00477277">
        <w:rPr>
          <w:rFonts w:ascii="Arial" w:hAnsi="Arial" w:cs="Arial"/>
          <w:sz w:val="22"/>
          <w:szCs w:val="22"/>
        </w:rPr>
        <w:t xml:space="preserve">er le donne </w:t>
      </w:r>
      <w:r w:rsidR="00E074A9" w:rsidRPr="00477277">
        <w:rPr>
          <w:rFonts w:ascii="Arial" w:hAnsi="Arial" w:cs="Arial"/>
          <w:sz w:val="22"/>
          <w:szCs w:val="22"/>
        </w:rPr>
        <w:t xml:space="preserve">si osservano </w:t>
      </w:r>
      <w:r w:rsidR="002D4E0D" w:rsidRPr="00477277">
        <w:rPr>
          <w:rFonts w:ascii="Arial" w:hAnsi="Arial" w:cs="Arial"/>
          <w:sz w:val="22"/>
          <w:szCs w:val="22"/>
        </w:rPr>
        <w:t xml:space="preserve">differenze evidenti </w:t>
      </w:r>
      <w:r w:rsidR="006B3D0E" w:rsidRPr="00477277">
        <w:rPr>
          <w:rFonts w:ascii="Arial" w:hAnsi="Arial" w:cs="Arial"/>
          <w:sz w:val="22"/>
          <w:szCs w:val="22"/>
        </w:rPr>
        <w:t>prima dei 30 anni</w:t>
      </w:r>
      <w:r w:rsidR="00184584" w:rsidRPr="00477277">
        <w:rPr>
          <w:rFonts w:ascii="Arial" w:hAnsi="Arial" w:cs="Arial"/>
          <w:sz w:val="22"/>
          <w:szCs w:val="22"/>
        </w:rPr>
        <w:t>: in q</w:t>
      </w:r>
      <w:r w:rsidRPr="00477277">
        <w:rPr>
          <w:rFonts w:ascii="Arial" w:hAnsi="Arial" w:cs="Arial"/>
          <w:sz w:val="22"/>
          <w:szCs w:val="22"/>
        </w:rPr>
        <w:t xml:space="preserve">uesta fascia di età si colloca il </w:t>
      </w:r>
      <w:r w:rsidR="006B3D0E" w:rsidRPr="00477277">
        <w:rPr>
          <w:rFonts w:ascii="Arial" w:hAnsi="Arial" w:cs="Arial"/>
          <w:sz w:val="22"/>
          <w:szCs w:val="22"/>
        </w:rPr>
        <w:t>1</w:t>
      </w:r>
      <w:r w:rsidR="00477277" w:rsidRPr="00477277">
        <w:rPr>
          <w:rFonts w:ascii="Arial" w:hAnsi="Arial" w:cs="Arial"/>
          <w:sz w:val="22"/>
          <w:szCs w:val="22"/>
        </w:rPr>
        <w:t>6</w:t>
      </w:r>
      <w:r w:rsidR="006B3D0E" w:rsidRPr="00477277">
        <w:rPr>
          <w:rFonts w:ascii="Arial" w:hAnsi="Arial" w:cs="Arial"/>
          <w:sz w:val="22"/>
          <w:szCs w:val="22"/>
        </w:rPr>
        <w:t>,1</w:t>
      </w:r>
      <w:r w:rsidR="002D4E0D" w:rsidRPr="00477277">
        <w:rPr>
          <w:rFonts w:ascii="Arial" w:hAnsi="Arial" w:cs="Arial"/>
          <w:sz w:val="22"/>
          <w:szCs w:val="22"/>
        </w:rPr>
        <w:t xml:space="preserve">% </w:t>
      </w:r>
      <w:r w:rsidRPr="00477277">
        <w:rPr>
          <w:rFonts w:ascii="Arial" w:hAnsi="Arial" w:cs="Arial"/>
          <w:sz w:val="22"/>
          <w:szCs w:val="22"/>
        </w:rPr>
        <w:t>delle unite civilmente</w:t>
      </w:r>
      <w:r w:rsidR="00184584" w:rsidRPr="00477277">
        <w:rPr>
          <w:rFonts w:ascii="Arial" w:hAnsi="Arial" w:cs="Arial"/>
          <w:sz w:val="22"/>
          <w:szCs w:val="22"/>
        </w:rPr>
        <w:t xml:space="preserve"> </w:t>
      </w:r>
      <w:r w:rsidRPr="00477277">
        <w:rPr>
          <w:rFonts w:ascii="Arial" w:hAnsi="Arial" w:cs="Arial"/>
          <w:sz w:val="22"/>
          <w:szCs w:val="22"/>
        </w:rPr>
        <w:t xml:space="preserve">contro </w:t>
      </w:r>
      <w:r w:rsidR="002D4E0D" w:rsidRPr="00477277">
        <w:rPr>
          <w:rFonts w:ascii="Arial" w:hAnsi="Arial" w:cs="Arial"/>
          <w:sz w:val="22"/>
          <w:szCs w:val="22"/>
        </w:rPr>
        <w:t xml:space="preserve">il </w:t>
      </w:r>
      <w:r w:rsidR="006B3D0E" w:rsidRPr="00477277">
        <w:rPr>
          <w:rFonts w:ascii="Arial" w:hAnsi="Arial" w:cs="Arial"/>
          <w:sz w:val="22"/>
          <w:szCs w:val="22"/>
        </w:rPr>
        <w:t>2</w:t>
      </w:r>
      <w:r w:rsidR="00477277" w:rsidRPr="00477277">
        <w:rPr>
          <w:rFonts w:ascii="Arial" w:hAnsi="Arial" w:cs="Arial"/>
          <w:sz w:val="22"/>
          <w:szCs w:val="22"/>
        </w:rPr>
        <w:t>6</w:t>
      </w:r>
      <w:r w:rsidR="006B3D0E" w:rsidRPr="00477277">
        <w:rPr>
          <w:rFonts w:ascii="Arial" w:hAnsi="Arial" w:cs="Arial"/>
          <w:sz w:val="22"/>
          <w:szCs w:val="22"/>
        </w:rPr>
        <w:t>,</w:t>
      </w:r>
      <w:r w:rsidR="00477277" w:rsidRPr="00477277">
        <w:rPr>
          <w:rFonts w:ascii="Arial" w:hAnsi="Arial" w:cs="Arial"/>
          <w:sz w:val="22"/>
          <w:szCs w:val="22"/>
        </w:rPr>
        <w:t>4</w:t>
      </w:r>
      <w:r w:rsidR="002D4E0D" w:rsidRPr="00477277">
        <w:rPr>
          <w:rFonts w:ascii="Arial" w:hAnsi="Arial" w:cs="Arial"/>
          <w:sz w:val="22"/>
          <w:szCs w:val="22"/>
        </w:rPr>
        <w:t xml:space="preserve">% </w:t>
      </w:r>
      <w:r w:rsidRPr="00477277">
        <w:rPr>
          <w:rFonts w:ascii="Arial" w:hAnsi="Arial" w:cs="Arial"/>
          <w:sz w:val="22"/>
          <w:szCs w:val="22"/>
        </w:rPr>
        <w:t xml:space="preserve">delle spose; valori </w:t>
      </w:r>
      <w:r w:rsidR="00C35880">
        <w:rPr>
          <w:rFonts w:ascii="Arial" w:hAnsi="Arial" w:cs="Arial"/>
          <w:sz w:val="22"/>
          <w:szCs w:val="22"/>
        </w:rPr>
        <w:t xml:space="preserve">simili </w:t>
      </w:r>
      <w:r w:rsidRPr="00477277">
        <w:rPr>
          <w:rFonts w:ascii="Arial" w:hAnsi="Arial" w:cs="Arial"/>
          <w:sz w:val="22"/>
          <w:szCs w:val="22"/>
        </w:rPr>
        <w:t>si osservano invece nella fascia di età 30-39 anni</w:t>
      </w:r>
      <w:r w:rsidR="002D4E0D" w:rsidRPr="00477277">
        <w:rPr>
          <w:rFonts w:ascii="Arial" w:hAnsi="Arial" w:cs="Arial"/>
          <w:sz w:val="22"/>
          <w:szCs w:val="22"/>
        </w:rPr>
        <w:t xml:space="preserve"> </w:t>
      </w:r>
      <w:r w:rsidRPr="00477277">
        <w:rPr>
          <w:rFonts w:ascii="Arial" w:hAnsi="Arial" w:cs="Arial"/>
          <w:sz w:val="22"/>
          <w:szCs w:val="22"/>
        </w:rPr>
        <w:t xml:space="preserve">(rispettivamente </w:t>
      </w:r>
      <w:r w:rsidR="002D4E0D" w:rsidRPr="00477277">
        <w:rPr>
          <w:rFonts w:ascii="Arial" w:hAnsi="Arial" w:cs="Arial"/>
          <w:sz w:val="22"/>
          <w:szCs w:val="22"/>
        </w:rPr>
        <w:t>4</w:t>
      </w:r>
      <w:r w:rsidR="00477277" w:rsidRPr="00477277">
        <w:rPr>
          <w:rFonts w:ascii="Arial" w:hAnsi="Arial" w:cs="Arial"/>
          <w:sz w:val="22"/>
          <w:szCs w:val="22"/>
        </w:rPr>
        <w:t>2</w:t>
      </w:r>
      <w:r w:rsidR="0028596C" w:rsidRPr="00477277">
        <w:rPr>
          <w:rFonts w:ascii="Arial" w:hAnsi="Arial" w:cs="Arial"/>
          <w:sz w:val="22"/>
          <w:szCs w:val="22"/>
        </w:rPr>
        <w:t>,</w:t>
      </w:r>
      <w:r w:rsidR="00477277" w:rsidRPr="00477277">
        <w:rPr>
          <w:rFonts w:ascii="Arial" w:hAnsi="Arial" w:cs="Arial"/>
          <w:sz w:val="22"/>
          <w:szCs w:val="22"/>
        </w:rPr>
        <w:t>3</w:t>
      </w:r>
      <w:r w:rsidR="0028596C" w:rsidRPr="00477277">
        <w:rPr>
          <w:rFonts w:ascii="Arial" w:hAnsi="Arial" w:cs="Arial"/>
          <w:sz w:val="22"/>
          <w:szCs w:val="22"/>
        </w:rPr>
        <w:t xml:space="preserve">% </w:t>
      </w:r>
      <w:r w:rsidRPr="00477277">
        <w:rPr>
          <w:rFonts w:ascii="Arial" w:hAnsi="Arial" w:cs="Arial"/>
          <w:sz w:val="22"/>
          <w:szCs w:val="22"/>
        </w:rPr>
        <w:t xml:space="preserve">e </w:t>
      </w:r>
      <w:r w:rsidR="002D4E0D" w:rsidRPr="00477277">
        <w:rPr>
          <w:rFonts w:ascii="Arial" w:hAnsi="Arial" w:cs="Arial"/>
          <w:sz w:val="22"/>
          <w:szCs w:val="22"/>
        </w:rPr>
        <w:t>4</w:t>
      </w:r>
      <w:r w:rsidR="00477277" w:rsidRPr="00477277">
        <w:rPr>
          <w:rFonts w:ascii="Arial" w:hAnsi="Arial" w:cs="Arial"/>
          <w:sz w:val="22"/>
          <w:szCs w:val="22"/>
        </w:rPr>
        <w:t>3</w:t>
      </w:r>
      <w:r w:rsidR="0028596C" w:rsidRPr="00477277">
        <w:rPr>
          <w:rFonts w:ascii="Arial" w:hAnsi="Arial" w:cs="Arial"/>
          <w:sz w:val="22"/>
          <w:szCs w:val="22"/>
        </w:rPr>
        <w:t>,</w:t>
      </w:r>
      <w:r w:rsidR="00477277" w:rsidRPr="00477277">
        <w:rPr>
          <w:rFonts w:ascii="Arial" w:hAnsi="Arial" w:cs="Arial"/>
          <w:sz w:val="22"/>
          <w:szCs w:val="22"/>
        </w:rPr>
        <w:t>9</w:t>
      </w:r>
      <w:r w:rsidR="0028596C" w:rsidRPr="00477277">
        <w:rPr>
          <w:rFonts w:ascii="Arial" w:hAnsi="Arial" w:cs="Arial"/>
          <w:sz w:val="22"/>
          <w:szCs w:val="22"/>
        </w:rPr>
        <w:t>%).</w:t>
      </w:r>
    </w:p>
    <w:p w14:paraId="3CC72777" w14:textId="77777777" w:rsidR="00BC6B13" w:rsidRDefault="00BC6B13" w:rsidP="004171DF">
      <w:pPr>
        <w:spacing w:after="120"/>
        <w:jc w:val="both"/>
        <w:outlineLvl w:val="0"/>
        <w:rPr>
          <w:rFonts w:ascii="Arial" w:hAnsi="Arial" w:cs="Arial"/>
          <w:sz w:val="22"/>
          <w:szCs w:val="22"/>
        </w:rPr>
      </w:pPr>
    </w:p>
    <w:p w14:paraId="220E84B5" w14:textId="77777777" w:rsidR="00BC6B13" w:rsidRDefault="00BC6B13" w:rsidP="004171DF">
      <w:pPr>
        <w:spacing w:after="120"/>
        <w:jc w:val="both"/>
        <w:outlineLvl w:val="0"/>
        <w:rPr>
          <w:rFonts w:ascii="Arial" w:hAnsi="Arial" w:cs="Arial"/>
          <w:sz w:val="22"/>
          <w:szCs w:val="22"/>
        </w:rPr>
      </w:pPr>
    </w:p>
    <w:p w14:paraId="0AE67500" w14:textId="77777777" w:rsidR="00BC6B13" w:rsidRDefault="00BC6B13" w:rsidP="004171DF">
      <w:pPr>
        <w:spacing w:after="120"/>
        <w:jc w:val="both"/>
        <w:outlineLvl w:val="0"/>
        <w:rPr>
          <w:rFonts w:ascii="Arial" w:hAnsi="Arial" w:cs="Arial"/>
          <w:sz w:val="22"/>
          <w:szCs w:val="22"/>
        </w:rPr>
      </w:pPr>
    </w:p>
    <w:p w14:paraId="327899E4" w14:textId="77777777" w:rsidR="00BC6B13" w:rsidRDefault="00BC6B13" w:rsidP="004171DF">
      <w:pPr>
        <w:spacing w:after="120"/>
        <w:jc w:val="both"/>
        <w:outlineLvl w:val="0"/>
        <w:rPr>
          <w:rFonts w:ascii="Arial" w:hAnsi="Arial" w:cs="Arial"/>
          <w:sz w:val="22"/>
          <w:szCs w:val="22"/>
        </w:rPr>
      </w:pPr>
    </w:p>
    <w:p w14:paraId="5801D051" w14:textId="77777777" w:rsidR="00BC6B13" w:rsidRDefault="00BC6B13" w:rsidP="004171DF">
      <w:pPr>
        <w:spacing w:after="120"/>
        <w:jc w:val="both"/>
        <w:outlineLvl w:val="0"/>
        <w:rPr>
          <w:rFonts w:ascii="Arial" w:hAnsi="Arial" w:cs="Arial"/>
          <w:sz w:val="22"/>
          <w:szCs w:val="22"/>
        </w:rPr>
      </w:pPr>
    </w:p>
    <w:p w14:paraId="02AD7005" w14:textId="77777777" w:rsidR="00BC6B13" w:rsidRDefault="00BC6B13" w:rsidP="004171DF">
      <w:pPr>
        <w:spacing w:after="120"/>
        <w:jc w:val="both"/>
        <w:outlineLvl w:val="0"/>
        <w:rPr>
          <w:rFonts w:ascii="Arial" w:hAnsi="Arial" w:cs="Arial"/>
          <w:sz w:val="22"/>
          <w:szCs w:val="22"/>
        </w:rPr>
      </w:pPr>
    </w:p>
    <w:p w14:paraId="305ADB89" w14:textId="77777777" w:rsidR="00BC6B13" w:rsidRDefault="00BC6B13" w:rsidP="004171DF">
      <w:pPr>
        <w:spacing w:after="120"/>
        <w:jc w:val="both"/>
        <w:outlineLvl w:val="0"/>
        <w:rPr>
          <w:rFonts w:ascii="Arial" w:hAnsi="Arial" w:cs="Arial"/>
          <w:sz w:val="22"/>
          <w:szCs w:val="22"/>
        </w:rPr>
      </w:pPr>
    </w:p>
    <w:p w14:paraId="62CDE440" w14:textId="77777777" w:rsidR="00BC6B13" w:rsidRPr="003A36C5" w:rsidRDefault="00BC6B13" w:rsidP="004171DF">
      <w:pPr>
        <w:spacing w:after="120"/>
        <w:jc w:val="both"/>
        <w:outlineLvl w:val="0"/>
        <w:rPr>
          <w:rFonts w:ascii="Arial" w:hAnsi="Arial" w:cs="Arial"/>
        </w:rPr>
      </w:pPr>
    </w:p>
    <w:p w14:paraId="3E70B50E" w14:textId="6D9E4540" w:rsidR="00877BAF" w:rsidRDefault="000D2F5B" w:rsidP="00BC6B13">
      <w:pPr>
        <w:pStyle w:val="RAtesto"/>
        <w:spacing w:after="0" w:line="240" w:lineRule="auto"/>
        <w:rPr>
          <w:color w:val="1F497D" w:themeColor="text2"/>
          <w:sz w:val="22"/>
          <w:szCs w:val="22"/>
        </w:rPr>
      </w:pPr>
      <w:r w:rsidRPr="007D109C">
        <w:rPr>
          <w:rFonts w:ascii="Arial Black" w:hAnsi="Arial Black"/>
          <w:iCs/>
          <w:noProof/>
          <w:color w:val="1F497D" w:themeColor="text2"/>
          <w:sz w:val="22"/>
          <w:szCs w:val="22"/>
        </w:rPr>
        <w:t xml:space="preserve">FIGURA </w:t>
      </w:r>
      <w:r>
        <w:rPr>
          <w:rFonts w:ascii="Arial Black" w:hAnsi="Arial Black"/>
          <w:iCs/>
          <w:noProof/>
          <w:color w:val="1F497D" w:themeColor="text2"/>
          <w:sz w:val="22"/>
          <w:szCs w:val="22"/>
        </w:rPr>
        <w:t>6</w:t>
      </w:r>
      <w:r w:rsidRPr="007D109C">
        <w:rPr>
          <w:rFonts w:ascii="Arial Black" w:hAnsi="Arial Black"/>
          <w:iCs/>
          <w:noProof/>
          <w:color w:val="1F497D" w:themeColor="text2"/>
          <w:sz w:val="22"/>
          <w:szCs w:val="22"/>
        </w:rPr>
        <w:t>.</w:t>
      </w:r>
      <w:r w:rsidRPr="007D109C">
        <w:rPr>
          <w:b/>
          <w:iCs/>
          <w:noProof/>
          <w:color w:val="1F497D" w:themeColor="text2"/>
          <w:sz w:val="22"/>
          <w:szCs w:val="22"/>
        </w:rPr>
        <w:t xml:space="preserve"> </w:t>
      </w:r>
      <w:r>
        <w:rPr>
          <w:b/>
          <w:iCs/>
          <w:noProof/>
          <w:color w:val="1F497D" w:themeColor="text2"/>
          <w:sz w:val="22"/>
          <w:szCs w:val="22"/>
        </w:rPr>
        <w:t>SPOSI E UNITI CIVILMENTE PER SESSO E CLASSI DI ET</w:t>
      </w:r>
      <w:r w:rsidRPr="00AB535E">
        <w:rPr>
          <w:b/>
          <w:iCs/>
          <w:noProof/>
          <w:color w:val="1F497D" w:themeColor="text2"/>
          <w:sz w:val="22"/>
          <w:szCs w:val="22"/>
        </w:rPr>
        <w:t>À</w:t>
      </w:r>
      <w:r w:rsidRPr="000156A7">
        <w:rPr>
          <w:b/>
          <w:iCs/>
          <w:noProof/>
          <w:color w:val="1F497D" w:themeColor="text2"/>
          <w:sz w:val="22"/>
          <w:szCs w:val="22"/>
        </w:rPr>
        <w:t xml:space="preserve">. </w:t>
      </w:r>
      <w:r w:rsidRPr="000156A7">
        <w:rPr>
          <w:color w:val="1F497D" w:themeColor="text2"/>
          <w:sz w:val="22"/>
          <w:szCs w:val="22"/>
        </w:rPr>
        <w:t xml:space="preserve">Anni </w:t>
      </w:r>
      <w:r w:rsidR="00905A75" w:rsidRPr="000156A7">
        <w:rPr>
          <w:color w:val="1F497D" w:themeColor="text2"/>
          <w:sz w:val="22"/>
          <w:szCs w:val="22"/>
        </w:rPr>
        <w:t>2018-20</w:t>
      </w:r>
      <w:r w:rsidRPr="000156A7">
        <w:rPr>
          <w:color w:val="1F497D" w:themeColor="text2"/>
          <w:sz w:val="22"/>
          <w:szCs w:val="22"/>
        </w:rPr>
        <w:t>2</w:t>
      </w:r>
      <w:r w:rsidR="00477277">
        <w:rPr>
          <w:color w:val="1F497D" w:themeColor="text2"/>
          <w:sz w:val="22"/>
          <w:szCs w:val="22"/>
        </w:rPr>
        <w:t>2</w:t>
      </w:r>
      <w:r w:rsidRPr="000156A7">
        <w:rPr>
          <w:color w:val="1F497D" w:themeColor="text2"/>
          <w:sz w:val="22"/>
          <w:szCs w:val="22"/>
        </w:rPr>
        <w:t>,</w:t>
      </w:r>
      <w:r>
        <w:rPr>
          <w:color w:val="1F497D" w:themeColor="text2"/>
          <w:sz w:val="22"/>
          <w:szCs w:val="22"/>
        </w:rPr>
        <w:t xml:space="preserve"> composizione percentuale</w:t>
      </w:r>
    </w:p>
    <w:p w14:paraId="5AE06D9C" w14:textId="77777777" w:rsidR="00BC6B13" w:rsidRDefault="00BC6B13" w:rsidP="00BC6B13">
      <w:pPr>
        <w:pStyle w:val="RAtesto"/>
        <w:spacing w:after="0" w:line="240" w:lineRule="auto"/>
        <w:rPr>
          <w:color w:val="1F497D" w:themeColor="text2"/>
          <w:sz w:val="22"/>
          <w:szCs w:val="22"/>
        </w:rPr>
      </w:pPr>
    </w:p>
    <w:p w14:paraId="76558079" w14:textId="77777777" w:rsidR="00BC6B13" w:rsidRPr="003A36C5" w:rsidRDefault="00BC6B13" w:rsidP="003A36C5">
      <w:pPr>
        <w:pStyle w:val="RAtesto"/>
        <w:spacing w:after="0" w:line="240" w:lineRule="auto"/>
        <w:rPr>
          <w:color w:val="1F497D" w:themeColor="text2"/>
          <w:sz w:val="16"/>
          <w:szCs w:val="16"/>
        </w:rPr>
      </w:pPr>
    </w:p>
    <w:p w14:paraId="6D25042B" w14:textId="74A07B58" w:rsidR="00D34248" w:rsidRDefault="003709BF" w:rsidP="007C3974">
      <w:pPr>
        <w:tabs>
          <w:tab w:val="left" w:pos="8484"/>
        </w:tabs>
        <w:spacing w:after="120"/>
        <w:jc w:val="both"/>
        <w:outlineLvl w:val="0"/>
        <w:rPr>
          <w:rFonts w:ascii="Arial" w:hAnsi="Arial" w:cs="Arial"/>
          <w:b/>
          <w:color w:val="1F497D" w:themeColor="text2"/>
          <w:sz w:val="26"/>
          <w:szCs w:val="26"/>
        </w:rPr>
      </w:pPr>
      <w:r w:rsidRPr="004C004F">
        <w:rPr>
          <w:rFonts w:ascii="Arial Narrow" w:hAnsi="Arial Narrow"/>
          <w:noProof/>
          <w:sz w:val="14"/>
          <w:szCs w:val="14"/>
        </w:rPr>
        <mc:AlternateContent>
          <mc:Choice Requires="wpg">
            <w:drawing>
              <wp:inline distT="0" distB="0" distL="0" distR="0" wp14:anchorId="084DC23C" wp14:editId="1DD01723">
                <wp:extent cx="6421943" cy="2320356"/>
                <wp:effectExtent l="0" t="0" r="0" b="0"/>
                <wp:docPr id="8" name="Gruppo 7"/>
                <wp:cNvGraphicFramePr/>
                <a:graphic xmlns:a="http://schemas.openxmlformats.org/drawingml/2006/main">
                  <a:graphicData uri="http://schemas.microsoft.com/office/word/2010/wordprocessingGroup">
                    <wpg:wgp>
                      <wpg:cNvGrpSpPr/>
                      <wpg:grpSpPr>
                        <a:xfrm>
                          <a:off x="0" y="0"/>
                          <a:ext cx="6421943" cy="2320356"/>
                          <a:chOff x="0" y="0"/>
                          <a:chExt cx="6896101" cy="3257550"/>
                        </a:xfrm>
                      </wpg:grpSpPr>
                      <wpg:graphicFrame>
                        <wpg:cNvPr id="2" name="Grafico 2"/>
                        <wpg:cNvFrPr>
                          <a:graphicFrameLocks/>
                        </wpg:cNvFrPr>
                        <wpg:xfrm>
                          <a:off x="0" y="0"/>
                          <a:ext cx="3438525" cy="3257550"/>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3" name="Grafico 3"/>
                        <wpg:cNvFrPr>
                          <a:graphicFrameLocks/>
                        </wpg:cNvFrPr>
                        <wpg:xfrm>
                          <a:off x="3457576" y="0"/>
                          <a:ext cx="3438525" cy="3257550"/>
                        </wpg:xfrm>
                        <a:graphic>
                          <a:graphicData uri="http://schemas.openxmlformats.org/drawingml/2006/chart">
                            <c:chart xmlns:c="http://schemas.openxmlformats.org/drawingml/2006/chart" xmlns:r="http://schemas.openxmlformats.org/officeDocument/2006/relationships" r:id="rId19"/>
                          </a:graphicData>
                        </a:graphic>
                      </wpg:graphicFrame>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3D834D" id="Gruppo 7" o:spid="_x0000_s1026" style="width:505.65pt;height:182.7pt;mso-position-horizontal-relative:char;mso-position-vertical-relative:line" coordsize="68961,32575"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o 2" o:spid="_x0000_s1027" type="#_x0000_t75" style="position:absolute;left:130;top:1112;width:31945;height:30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">
                  <v:imagedata r:id="rId23" o:title=""/>
                  <o:lock v:ext="edit" aspectratio="f"/>
                </v:shape>
                <v:shape id="Grafico 3" o:spid="_x0000_s1028" type="#_x0000_t75" style="position:absolute;left:34694;top:1026;width:32796;height:30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">
                  <v:imagedata r:id="rId24" o:title=""/>
                  <o:lock v:ext="edit" aspectratio="f"/>
                </v:shape>
                <w10:anchorlock/>
              </v:group>
            </w:pict>
          </mc:Fallback>
        </mc:AlternateContent>
      </w:r>
    </w:p>
    <w:p w14:paraId="74A82AD8" w14:textId="77777777" w:rsidR="004C004F" w:rsidRPr="00486BEA" w:rsidRDefault="004C004F" w:rsidP="007C3974">
      <w:pPr>
        <w:tabs>
          <w:tab w:val="left" w:pos="8484"/>
        </w:tabs>
        <w:spacing w:after="120"/>
        <w:jc w:val="both"/>
        <w:outlineLvl w:val="0"/>
        <w:rPr>
          <w:rFonts w:ascii="Arial" w:hAnsi="Arial" w:cs="Arial"/>
          <w:bCs/>
          <w:color w:val="1F497D" w:themeColor="text2"/>
          <w:sz w:val="22"/>
          <w:szCs w:val="22"/>
        </w:rPr>
      </w:pPr>
    </w:p>
    <w:p w14:paraId="4E6FA8CD" w14:textId="205E1535" w:rsidR="00235A69" w:rsidRPr="004C7F62" w:rsidRDefault="004C004F" w:rsidP="007C3974">
      <w:pPr>
        <w:tabs>
          <w:tab w:val="left" w:pos="8484"/>
        </w:tabs>
        <w:spacing w:after="120"/>
        <w:jc w:val="both"/>
        <w:outlineLvl w:val="0"/>
        <w:rPr>
          <w:rFonts w:ascii="Arial" w:hAnsi="Arial" w:cs="Arial"/>
          <w:b/>
          <w:color w:val="1F497D" w:themeColor="text2"/>
          <w:sz w:val="26"/>
          <w:szCs w:val="26"/>
        </w:rPr>
      </w:pPr>
      <w:r>
        <w:rPr>
          <w:rFonts w:ascii="Arial" w:hAnsi="Arial" w:cs="Arial"/>
          <w:b/>
          <w:color w:val="1F497D" w:themeColor="text2"/>
          <w:sz w:val="26"/>
          <w:szCs w:val="26"/>
        </w:rPr>
        <w:t>S</w:t>
      </w:r>
      <w:r w:rsidR="004C7F62" w:rsidRPr="004C7F62">
        <w:rPr>
          <w:rFonts w:ascii="Arial" w:hAnsi="Arial" w:cs="Arial"/>
          <w:b/>
          <w:color w:val="1F497D" w:themeColor="text2"/>
          <w:sz w:val="26"/>
          <w:szCs w:val="26"/>
        </w:rPr>
        <w:t>eparazioni in rallentamento, divorzi stabili</w:t>
      </w:r>
    </w:p>
    <w:p w14:paraId="7A0C64F0" w14:textId="28C86692" w:rsidR="00A0159E" w:rsidRPr="00A0159E" w:rsidRDefault="00A0159E" w:rsidP="00DD4DEA">
      <w:pPr>
        <w:spacing w:after="120"/>
        <w:jc w:val="both"/>
        <w:outlineLvl w:val="0"/>
        <w:rPr>
          <w:rFonts w:ascii="Arial" w:hAnsi="Arial" w:cs="Arial"/>
          <w:sz w:val="22"/>
          <w:szCs w:val="22"/>
        </w:rPr>
      </w:pPr>
      <w:r w:rsidRPr="00A0159E">
        <w:rPr>
          <w:rFonts w:ascii="Arial" w:hAnsi="Arial" w:cs="Arial"/>
          <w:sz w:val="22"/>
          <w:szCs w:val="22"/>
        </w:rPr>
        <w:t>Nel 2022 le separazioni sono state complessivamente 89.907 (-8,2</w:t>
      </w:r>
      <w:r w:rsidR="003E292D">
        <w:rPr>
          <w:rFonts w:ascii="Arial" w:hAnsi="Arial" w:cs="Arial"/>
          <w:sz w:val="22"/>
          <w:szCs w:val="22"/>
        </w:rPr>
        <w:t>% rispetto all’anno precedente).</w:t>
      </w:r>
      <w:r>
        <w:rPr>
          <w:rFonts w:ascii="Arial" w:hAnsi="Arial" w:cs="Arial"/>
          <w:sz w:val="22"/>
          <w:szCs w:val="22"/>
        </w:rPr>
        <w:t xml:space="preserve"> </w:t>
      </w:r>
      <w:r w:rsidR="00C35880">
        <w:rPr>
          <w:rFonts w:ascii="Arial" w:hAnsi="Arial" w:cs="Arial"/>
          <w:sz w:val="22"/>
          <w:szCs w:val="22"/>
        </w:rPr>
        <w:t>I</w:t>
      </w:r>
      <w:r w:rsidRPr="00A0159E">
        <w:rPr>
          <w:rFonts w:ascii="Arial" w:hAnsi="Arial" w:cs="Arial"/>
          <w:sz w:val="22"/>
          <w:szCs w:val="22"/>
        </w:rPr>
        <w:t xml:space="preserve"> divorzi sono stati 82.596, stabili rispetto all’anno precedente (-0,7%) e il 16,6% in meno nel confronto con il 2016, anno in cui sono stati finora </w:t>
      </w:r>
      <w:r w:rsidR="00F52D71">
        <w:rPr>
          <w:rFonts w:ascii="Arial" w:hAnsi="Arial" w:cs="Arial"/>
          <w:sz w:val="22"/>
          <w:szCs w:val="22"/>
        </w:rPr>
        <w:t xml:space="preserve">i </w:t>
      </w:r>
      <w:r w:rsidRPr="00A0159E">
        <w:rPr>
          <w:rFonts w:ascii="Arial" w:hAnsi="Arial" w:cs="Arial"/>
          <w:sz w:val="22"/>
          <w:szCs w:val="22"/>
        </w:rPr>
        <w:t>più numerosi (99.071).</w:t>
      </w:r>
    </w:p>
    <w:p w14:paraId="2FBD6A40" w14:textId="56E7CE1E" w:rsidR="00A0159E" w:rsidRDefault="00090C82" w:rsidP="00DD4DEA">
      <w:pPr>
        <w:spacing w:after="120"/>
        <w:jc w:val="both"/>
        <w:outlineLvl w:val="0"/>
        <w:rPr>
          <w:rFonts w:ascii="Arial" w:hAnsi="Arial" w:cs="Arial"/>
          <w:sz w:val="22"/>
          <w:szCs w:val="22"/>
        </w:rPr>
      </w:pPr>
      <w:r w:rsidRPr="004C7F62">
        <w:rPr>
          <w:rFonts w:ascii="Arial" w:hAnsi="Arial" w:cs="Arial"/>
          <w:sz w:val="22"/>
          <w:szCs w:val="22"/>
        </w:rPr>
        <w:t>I</w:t>
      </w:r>
      <w:r w:rsidR="007B4899" w:rsidRPr="004C7F62">
        <w:rPr>
          <w:rFonts w:ascii="Arial" w:hAnsi="Arial" w:cs="Arial"/>
          <w:sz w:val="22"/>
          <w:szCs w:val="22"/>
        </w:rPr>
        <w:t xml:space="preserve">l </w:t>
      </w:r>
      <w:r w:rsidR="007B4899" w:rsidRPr="004C7F62">
        <w:rPr>
          <w:rFonts w:ascii="Arial" w:hAnsi="Arial" w:cs="Arial"/>
          <w:i/>
          <w:iCs/>
          <w:sz w:val="22"/>
          <w:szCs w:val="22"/>
        </w:rPr>
        <w:t>trend</w:t>
      </w:r>
      <w:r w:rsidR="007B4899" w:rsidRPr="004C7F62">
        <w:rPr>
          <w:rFonts w:ascii="Arial" w:hAnsi="Arial" w:cs="Arial"/>
          <w:sz w:val="22"/>
          <w:szCs w:val="22"/>
        </w:rPr>
        <w:t xml:space="preserve"> </w:t>
      </w:r>
      <w:r w:rsidRPr="004C7F62">
        <w:rPr>
          <w:rFonts w:ascii="Arial" w:hAnsi="Arial" w:cs="Arial"/>
          <w:sz w:val="22"/>
          <w:szCs w:val="22"/>
        </w:rPr>
        <w:t xml:space="preserve">dei divorzi </w:t>
      </w:r>
      <w:r w:rsidR="00235A69" w:rsidRPr="004C7F62">
        <w:rPr>
          <w:rFonts w:ascii="Arial" w:hAnsi="Arial" w:cs="Arial"/>
          <w:sz w:val="22"/>
          <w:szCs w:val="22"/>
        </w:rPr>
        <w:t xml:space="preserve">è stato </w:t>
      </w:r>
      <w:r w:rsidR="007B4899" w:rsidRPr="004C7F62">
        <w:rPr>
          <w:rFonts w:ascii="Arial" w:hAnsi="Arial" w:cs="Arial"/>
          <w:sz w:val="22"/>
          <w:szCs w:val="22"/>
        </w:rPr>
        <w:t>sempre crescente</w:t>
      </w:r>
      <w:r w:rsidR="00235A69" w:rsidRPr="004C7F62">
        <w:rPr>
          <w:rFonts w:ascii="Arial" w:hAnsi="Arial" w:cs="Arial"/>
          <w:sz w:val="22"/>
          <w:szCs w:val="22"/>
        </w:rPr>
        <w:t xml:space="preserve"> dal 1970 (anno </w:t>
      </w:r>
      <w:r w:rsidR="00E910DB" w:rsidRPr="004C7F62">
        <w:rPr>
          <w:rFonts w:ascii="Arial" w:hAnsi="Arial" w:cs="Arial"/>
          <w:sz w:val="22"/>
          <w:szCs w:val="22"/>
        </w:rPr>
        <w:t>di introduzione del</w:t>
      </w:r>
      <w:r w:rsidR="00235A69" w:rsidRPr="004C7F62">
        <w:rPr>
          <w:rFonts w:ascii="Arial" w:hAnsi="Arial" w:cs="Arial"/>
          <w:sz w:val="22"/>
          <w:szCs w:val="22"/>
        </w:rPr>
        <w:t xml:space="preserve"> divorzio nell’ordinamento italiano) fino </w:t>
      </w:r>
      <w:r w:rsidR="00CC3286" w:rsidRPr="004C7F62">
        <w:rPr>
          <w:rFonts w:ascii="Arial" w:hAnsi="Arial" w:cs="Arial"/>
          <w:sz w:val="22"/>
          <w:szCs w:val="22"/>
        </w:rPr>
        <w:t xml:space="preserve">al </w:t>
      </w:r>
      <w:r w:rsidR="00235A69" w:rsidRPr="004C7F62">
        <w:rPr>
          <w:rFonts w:ascii="Arial" w:hAnsi="Arial" w:cs="Arial"/>
          <w:sz w:val="22"/>
          <w:szCs w:val="22"/>
        </w:rPr>
        <w:t>2015</w:t>
      </w:r>
      <w:r w:rsidR="00F52D71">
        <w:rPr>
          <w:rFonts w:ascii="Arial" w:hAnsi="Arial" w:cs="Arial"/>
          <w:sz w:val="22"/>
          <w:szCs w:val="22"/>
        </w:rPr>
        <w:t xml:space="preserve">. In tale </w:t>
      </w:r>
      <w:r w:rsidR="00CC3286" w:rsidRPr="004C7F62">
        <w:rPr>
          <w:rFonts w:ascii="Arial" w:hAnsi="Arial" w:cs="Arial"/>
          <w:sz w:val="22"/>
          <w:szCs w:val="22"/>
        </w:rPr>
        <w:t xml:space="preserve">anno </w:t>
      </w:r>
      <w:r w:rsidR="00235A69" w:rsidRPr="004C7F62">
        <w:rPr>
          <w:rFonts w:ascii="Arial" w:hAnsi="Arial" w:cs="Arial"/>
          <w:sz w:val="22"/>
          <w:szCs w:val="22"/>
        </w:rPr>
        <w:t>il numero di divorzi sub</w:t>
      </w:r>
      <w:r w:rsidR="00F52D71">
        <w:rPr>
          <w:rFonts w:ascii="Arial" w:hAnsi="Arial" w:cs="Arial"/>
          <w:sz w:val="22"/>
          <w:szCs w:val="22"/>
        </w:rPr>
        <w:t>ì</w:t>
      </w:r>
      <w:r w:rsidR="00235A69" w:rsidRPr="004C7F62">
        <w:rPr>
          <w:rFonts w:ascii="Arial" w:hAnsi="Arial" w:cs="Arial"/>
          <w:sz w:val="22"/>
          <w:szCs w:val="22"/>
        </w:rPr>
        <w:t xml:space="preserve"> una forte impennata (+57,5%)</w:t>
      </w:r>
      <w:r w:rsidR="00CC3286" w:rsidRPr="004C7F62">
        <w:rPr>
          <w:rFonts w:ascii="Arial" w:hAnsi="Arial" w:cs="Arial"/>
          <w:sz w:val="22"/>
          <w:szCs w:val="22"/>
        </w:rPr>
        <w:t xml:space="preserve"> in relazione </w:t>
      </w:r>
      <w:r w:rsidR="00235A69" w:rsidRPr="004C7F62">
        <w:rPr>
          <w:rFonts w:ascii="Arial" w:hAnsi="Arial" w:cs="Arial"/>
          <w:sz w:val="22"/>
          <w:szCs w:val="22"/>
        </w:rPr>
        <w:t>a</w:t>
      </w:r>
      <w:r w:rsidR="00CC3286" w:rsidRPr="004C7F62">
        <w:rPr>
          <w:rFonts w:ascii="Arial" w:hAnsi="Arial" w:cs="Arial"/>
          <w:sz w:val="22"/>
          <w:szCs w:val="22"/>
        </w:rPr>
        <w:t>ll’</w:t>
      </w:r>
      <w:r w:rsidR="00235A69" w:rsidRPr="004C7F62">
        <w:rPr>
          <w:rFonts w:ascii="Arial" w:hAnsi="Arial" w:cs="Arial"/>
          <w:sz w:val="22"/>
          <w:szCs w:val="22"/>
        </w:rPr>
        <w:t xml:space="preserve">entrata in vigore di due </w:t>
      </w:r>
      <w:r w:rsidR="00E910DB" w:rsidRPr="004C7F62">
        <w:rPr>
          <w:rFonts w:ascii="Arial" w:hAnsi="Arial" w:cs="Arial"/>
          <w:sz w:val="22"/>
          <w:szCs w:val="22"/>
        </w:rPr>
        <w:t xml:space="preserve">importanti </w:t>
      </w:r>
      <w:r w:rsidR="00235A69" w:rsidRPr="004C7F62">
        <w:rPr>
          <w:rFonts w:ascii="Arial" w:hAnsi="Arial" w:cs="Arial"/>
          <w:sz w:val="22"/>
          <w:szCs w:val="22"/>
        </w:rPr>
        <w:t>leggi</w:t>
      </w:r>
      <w:r w:rsidR="0058458E" w:rsidRPr="004C7F62">
        <w:rPr>
          <w:rStyle w:val="Rimandonotadichiusura"/>
          <w:rFonts w:ascii="Arial" w:hAnsi="Arial" w:cs="Arial"/>
          <w:sz w:val="22"/>
          <w:szCs w:val="22"/>
        </w:rPr>
        <w:endnoteReference w:id="7"/>
      </w:r>
      <w:r w:rsidR="00235A69" w:rsidRPr="004C7F62">
        <w:rPr>
          <w:rFonts w:ascii="Arial" w:hAnsi="Arial" w:cs="Arial"/>
          <w:sz w:val="22"/>
          <w:szCs w:val="22"/>
        </w:rPr>
        <w:t xml:space="preserve"> che hanno modific</w:t>
      </w:r>
      <w:r w:rsidR="00E910DB" w:rsidRPr="004C7F62">
        <w:rPr>
          <w:rFonts w:ascii="Arial" w:hAnsi="Arial" w:cs="Arial"/>
          <w:sz w:val="22"/>
          <w:szCs w:val="22"/>
        </w:rPr>
        <w:t xml:space="preserve">ato </w:t>
      </w:r>
      <w:r w:rsidR="00235A69" w:rsidRPr="004C7F62">
        <w:rPr>
          <w:rFonts w:ascii="Arial" w:hAnsi="Arial" w:cs="Arial"/>
          <w:sz w:val="22"/>
          <w:szCs w:val="22"/>
        </w:rPr>
        <w:t>la disciplina dello scioglimento e della cessazione degli effetti civili del matrimonio</w:t>
      </w:r>
      <w:r w:rsidR="00522ED3" w:rsidRPr="004C7F62">
        <w:rPr>
          <w:rFonts w:ascii="Arial" w:hAnsi="Arial" w:cs="Arial"/>
          <w:sz w:val="22"/>
          <w:szCs w:val="22"/>
        </w:rPr>
        <w:t>: i</w:t>
      </w:r>
      <w:r w:rsidR="00235A69" w:rsidRPr="004C7F62">
        <w:rPr>
          <w:rFonts w:ascii="Arial" w:hAnsi="Arial" w:cs="Arial"/>
          <w:sz w:val="22"/>
          <w:szCs w:val="22"/>
        </w:rPr>
        <w:t>l Decreto legge 132/2014</w:t>
      </w:r>
      <w:r w:rsidR="00E910DB" w:rsidRPr="004C7F62">
        <w:rPr>
          <w:rFonts w:ascii="Arial" w:hAnsi="Arial" w:cs="Arial"/>
          <w:sz w:val="22"/>
          <w:szCs w:val="22"/>
        </w:rPr>
        <w:t>,</w:t>
      </w:r>
      <w:r w:rsidR="008078E7" w:rsidRPr="004C7F62">
        <w:rPr>
          <w:rFonts w:ascii="Arial" w:hAnsi="Arial" w:cs="Arial"/>
          <w:sz w:val="22"/>
          <w:szCs w:val="22"/>
        </w:rPr>
        <w:t xml:space="preserve"> che ha</w:t>
      </w:r>
      <w:r w:rsidR="00235A69" w:rsidRPr="004C7F62">
        <w:rPr>
          <w:rFonts w:ascii="Arial" w:hAnsi="Arial" w:cs="Arial"/>
          <w:sz w:val="22"/>
          <w:szCs w:val="22"/>
        </w:rPr>
        <w:t xml:space="preserve"> introdotto le procedure consensuali </w:t>
      </w:r>
      <w:r w:rsidR="008078E7" w:rsidRPr="004C7F62">
        <w:rPr>
          <w:rFonts w:ascii="Arial" w:hAnsi="Arial" w:cs="Arial"/>
          <w:sz w:val="22"/>
          <w:szCs w:val="22"/>
        </w:rPr>
        <w:t xml:space="preserve">extragiudiziali (quindi presso gli Uffici di Stato Civile o tramite negoziazioni assistite da avvocati </w:t>
      </w:r>
      <w:r w:rsidR="00235A69" w:rsidRPr="004C7F62">
        <w:rPr>
          <w:rFonts w:ascii="Arial" w:hAnsi="Arial" w:cs="Arial"/>
          <w:sz w:val="22"/>
          <w:szCs w:val="22"/>
        </w:rPr>
        <w:t xml:space="preserve">senza </w:t>
      </w:r>
      <w:r w:rsidR="008078E7" w:rsidRPr="004C7F62">
        <w:rPr>
          <w:rFonts w:ascii="Arial" w:hAnsi="Arial" w:cs="Arial"/>
          <w:sz w:val="22"/>
          <w:szCs w:val="22"/>
        </w:rPr>
        <w:t xml:space="preserve">più </w:t>
      </w:r>
      <w:r w:rsidR="00E910DB" w:rsidRPr="004C7F62">
        <w:rPr>
          <w:rFonts w:ascii="Arial" w:hAnsi="Arial" w:cs="Arial"/>
          <w:sz w:val="22"/>
          <w:szCs w:val="22"/>
        </w:rPr>
        <w:t xml:space="preserve">il ricorso </w:t>
      </w:r>
      <w:r w:rsidR="00235A69" w:rsidRPr="004C7F62">
        <w:rPr>
          <w:rFonts w:ascii="Arial" w:hAnsi="Arial" w:cs="Arial"/>
          <w:sz w:val="22"/>
          <w:szCs w:val="22"/>
        </w:rPr>
        <w:t>ai Tribunali</w:t>
      </w:r>
      <w:r w:rsidR="007623EC" w:rsidRPr="004C7F62">
        <w:rPr>
          <w:rFonts w:ascii="Arial" w:hAnsi="Arial" w:cs="Arial"/>
          <w:sz w:val="22"/>
          <w:szCs w:val="22"/>
        </w:rPr>
        <w:t>)</w:t>
      </w:r>
      <w:r w:rsidR="00E910DB" w:rsidRPr="004C7F62">
        <w:rPr>
          <w:rFonts w:ascii="Arial" w:hAnsi="Arial" w:cs="Arial"/>
          <w:sz w:val="22"/>
          <w:szCs w:val="22"/>
        </w:rPr>
        <w:t xml:space="preserve"> e</w:t>
      </w:r>
      <w:r w:rsidR="007623EC" w:rsidRPr="004C7F62">
        <w:rPr>
          <w:rFonts w:ascii="Arial" w:hAnsi="Arial" w:cs="Arial"/>
          <w:sz w:val="22"/>
          <w:szCs w:val="22"/>
        </w:rPr>
        <w:t xml:space="preserve"> </w:t>
      </w:r>
      <w:r w:rsidR="00DD4DEA" w:rsidRPr="004C7F62">
        <w:rPr>
          <w:rFonts w:ascii="Arial" w:hAnsi="Arial" w:cs="Arial"/>
          <w:sz w:val="22"/>
          <w:szCs w:val="22"/>
        </w:rPr>
        <w:t xml:space="preserve">soprattutto </w:t>
      </w:r>
      <w:r w:rsidR="008078E7" w:rsidRPr="004C7F62">
        <w:rPr>
          <w:rFonts w:ascii="Arial" w:hAnsi="Arial" w:cs="Arial"/>
          <w:sz w:val="22"/>
          <w:szCs w:val="22"/>
        </w:rPr>
        <w:t>la</w:t>
      </w:r>
      <w:r w:rsidR="00235A69" w:rsidRPr="004C7F62">
        <w:rPr>
          <w:rFonts w:ascii="Arial" w:hAnsi="Arial" w:cs="Arial"/>
          <w:sz w:val="22"/>
          <w:szCs w:val="22"/>
        </w:rPr>
        <w:t xml:space="preserve"> Legge 55/2015 (c.d. </w:t>
      </w:r>
      <w:r w:rsidR="00DD4DEA" w:rsidRPr="004C7F62">
        <w:rPr>
          <w:rFonts w:ascii="Arial" w:hAnsi="Arial" w:cs="Arial"/>
          <w:sz w:val="22"/>
          <w:szCs w:val="22"/>
        </w:rPr>
        <w:t>“</w:t>
      </w:r>
      <w:r w:rsidR="00235A69" w:rsidRPr="004C7F62">
        <w:rPr>
          <w:rFonts w:ascii="Arial" w:hAnsi="Arial" w:cs="Arial"/>
          <w:sz w:val="22"/>
          <w:szCs w:val="22"/>
        </w:rPr>
        <w:t>Divorzio breve</w:t>
      </w:r>
      <w:r w:rsidR="00DD4DEA" w:rsidRPr="004C7F62">
        <w:rPr>
          <w:rFonts w:ascii="Arial" w:hAnsi="Arial" w:cs="Arial"/>
          <w:sz w:val="22"/>
          <w:szCs w:val="22"/>
        </w:rPr>
        <w:t>”</w:t>
      </w:r>
      <w:r w:rsidR="00235A69" w:rsidRPr="004C7F62">
        <w:rPr>
          <w:rFonts w:ascii="Arial" w:hAnsi="Arial" w:cs="Arial"/>
          <w:sz w:val="22"/>
          <w:szCs w:val="22"/>
        </w:rPr>
        <w:t xml:space="preserve">) che ha fortemente ridotto l’intervallo </w:t>
      </w:r>
      <w:r w:rsidR="00522ED3" w:rsidRPr="004C7F62">
        <w:rPr>
          <w:rFonts w:ascii="Arial" w:hAnsi="Arial" w:cs="Arial"/>
          <w:sz w:val="22"/>
          <w:szCs w:val="22"/>
        </w:rPr>
        <w:t xml:space="preserve">di tempo </w:t>
      </w:r>
      <w:r w:rsidR="00235A69" w:rsidRPr="004C7F62">
        <w:rPr>
          <w:rFonts w:ascii="Arial" w:hAnsi="Arial" w:cs="Arial"/>
          <w:sz w:val="22"/>
          <w:szCs w:val="22"/>
        </w:rPr>
        <w:t>tra separazione e divorzio (</w:t>
      </w:r>
      <w:r w:rsidR="00FA207C">
        <w:rPr>
          <w:rFonts w:ascii="Arial" w:hAnsi="Arial" w:cs="Arial"/>
          <w:sz w:val="22"/>
          <w:szCs w:val="22"/>
        </w:rPr>
        <w:t>12</w:t>
      </w:r>
      <w:r w:rsidR="00235A69" w:rsidRPr="004C7F62">
        <w:rPr>
          <w:rFonts w:ascii="Arial" w:hAnsi="Arial" w:cs="Arial"/>
          <w:sz w:val="22"/>
          <w:szCs w:val="22"/>
        </w:rPr>
        <w:t xml:space="preserve"> mes</w:t>
      </w:r>
      <w:bookmarkStart w:id="0" w:name="_GoBack"/>
      <w:bookmarkEnd w:id="0"/>
      <w:r w:rsidR="00235A69" w:rsidRPr="004C7F62">
        <w:rPr>
          <w:rFonts w:ascii="Arial" w:hAnsi="Arial" w:cs="Arial"/>
          <w:sz w:val="22"/>
          <w:szCs w:val="22"/>
        </w:rPr>
        <w:t>i per le separazioni giudiziali e sei mesi per quelle consensuali)</w:t>
      </w:r>
      <w:r w:rsidR="00DD4DEA" w:rsidRPr="004C7F62">
        <w:rPr>
          <w:rFonts w:ascii="Arial" w:hAnsi="Arial" w:cs="Arial"/>
          <w:sz w:val="22"/>
          <w:szCs w:val="22"/>
        </w:rPr>
        <w:t xml:space="preserve"> determinando un vero boom </w:t>
      </w:r>
      <w:r w:rsidR="00CC526A" w:rsidRPr="004C7F62">
        <w:rPr>
          <w:rFonts w:ascii="Arial" w:hAnsi="Arial" w:cs="Arial"/>
          <w:sz w:val="22"/>
          <w:szCs w:val="22"/>
        </w:rPr>
        <w:t>de</w:t>
      </w:r>
      <w:r w:rsidR="00F52D71">
        <w:rPr>
          <w:rFonts w:ascii="Arial" w:hAnsi="Arial" w:cs="Arial"/>
          <w:sz w:val="22"/>
          <w:szCs w:val="22"/>
        </w:rPr>
        <w:t>l fenomeno</w:t>
      </w:r>
      <w:r w:rsidR="00CC526A" w:rsidRPr="004C7F62">
        <w:rPr>
          <w:rFonts w:ascii="Arial" w:hAnsi="Arial" w:cs="Arial"/>
          <w:sz w:val="22"/>
          <w:szCs w:val="22"/>
        </w:rPr>
        <w:t xml:space="preserve"> </w:t>
      </w:r>
      <w:r w:rsidR="00DD4DEA" w:rsidRPr="004C7F62">
        <w:rPr>
          <w:rFonts w:ascii="Arial" w:hAnsi="Arial" w:cs="Arial"/>
          <w:sz w:val="22"/>
          <w:szCs w:val="22"/>
        </w:rPr>
        <w:t>(Figura 7).</w:t>
      </w:r>
      <w:r w:rsidR="004C7F62">
        <w:rPr>
          <w:rFonts w:ascii="Arial" w:hAnsi="Arial" w:cs="Arial"/>
          <w:sz w:val="22"/>
          <w:szCs w:val="22"/>
        </w:rPr>
        <w:t xml:space="preserve"> </w:t>
      </w:r>
    </w:p>
    <w:p w14:paraId="3A832EB6" w14:textId="046D45D4" w:rsidR="00DD4DEA" w:rsidRPr="004C7F62" w:rsidRDefault="005F2C6D" w:rsidP="00DD4DEA">
      <w:pPr>
        <w:spacing w:after="120"/>
        <w:jc w:val="both"/>
        <w:outlineLvl w:val="0"/>
        <w:rPr>
          <w:rFonts w:ascii="Arial" w:hAnsi="Arial" w:cs="Arial"/>
          <w:sz w:val="22"/>
          <w:szCs w:val="22"/>
        </w:rPr>
      </w:pPr>
      <w:r w:rsidRPr="004C7F62">
        <w:rPr>
          <w:rFonts w:ascii="Arial" w:hAnsi="Arial" w:cs="Arial"/>
          <w:sz w:val="22"/>
          <w:szCs w:val="22"/>
        </w:rPr>
        <w:t>Dopo l’aumento registrato tra il 2015 e il 2016</w:t>
      </w:r>
      <w:r>
        <w:rPr>
          <w:rFonts w:ascii="Arial" w:hAnsi="Arial" w:cs="Arial"/>
          <w:sz w:val="22"/>
          <w:szCs w:val="22"/>
        </w:rPr>
        <w:t xml:space="preserve"> – che ha riguardato </w:t>
      </w:r>
      <w:r w:rsidR="00F52D71">
        <w:rPr>
          <w:rFonts w:ascii="Arial" w:hAnsi="Arial" w:cs="Arial"/>
          <w:sz w:val="22"/>
          <w:szCs w:val="22"/>
        </w:rPr>
        <w:t xml:space="preserve">in misura più attenuata </w:t>
      </w:r>
      <w:r>
        <w:rPr>
          <w:rFonts w:ascii="Arial" w:hAnsi="Arial" w:cs="Arial"/>
          <w:sz w:val="22"/>
          <w:szCs w:val="22"/>
        </w:rPr>
        <w:t xml:space="preserve">anche le separazioni – l’andamento </w:t>
      </w:r>
      <w:r w:rsidRPr="004C7F62">
        <w:rPr>
          <w:rFonts w:ascii="Arial" w:hAnsi="Arial" w:cs="Arial"/>
          <w:sz w:val="22"/>
          <w:szCs w:val="22"/>
        </w:rPr>
        <w:t>fino al 2019</w:t>
      </w:r>
      <w:r>
        <w:rPr>
          <w:rFonts w:ascii="Arial" w:hAnsi="Arial" w:cs="Arial"/>
          <w:sz w:val="22"/>
          <w:szCs w:val="22"/>
        </w:rPr>
        <w:t xml:space="preserve"> si è mantenuto stabile</w:t>
      </w:r>
      <w:r w:rsidRPr="004C7F62">
        <w:rPr>
          <w:rFonts w:ascii="Arial" w:hAnsi="Arial" w:cs="Arial"/>
          <w:sz w:val="22"/>
          <w:szCs w:val="22"/>
        </w:rPr>
        <w:t xml:space="preserve"> con piccole oscillazioni. </w:t>
      </w:r>
      <w:r>
        <w:rPr>
          <w:rFonts w:ascii="Arial" w:hAnsi="Arial" w:cs="Arial"/>
          <w:sz w:val="22"/>
          <w:szCs w:val="22"/>
        </w:rPr>
        <w:t xml:space="preserve">Nel 2020 </w:t>
      </w:r>
      <w:r w:rsidR="00A0159E">
        <w:rPr>
          <w:rFonts w:ascii="Arial" w:hAnsi="Arial" w:cs="Arial"/>
          <w:sz w:val="22"/>
          <w:szCs w:val="22"/>
        </w:rPr>
        <w:t xml:space="preserve">è stato invece ben visibile </w:t>
      </w:r>
      <w:r w:rsidR="004C7F62" w:rsidRPr="004C7F62">
        <w:rPr>
          <w:rFonts w:ascii="Arial" w:hAnsi="Arial" w:cs="Arial"/>
          <w:sz w:val="22"/>
          <w:szCs w:val="22"/>
        </w:rPr>
        <w:t xml:space="preserve">l’impatto della pandemia, soprattutto </w:t>
      </w:r>
      <w:r w:rsidR="00F52D71">
        <w:rPr>
          <w:rFonts w:ascii="Arial" w:hAnsi="Arial" w:cs="Arial"/>
          <w:sz w:val="22"/>
          <w:szCs w:val="22"/>
        </w:rPr>
        <w:t xml:space="preserve">per effetto </w:t>
      </w:r>
      <w:r w:rsidR="004C7F62" w:rsidRPr="004C7F62">
        <w:rPr>
          <w:rFonts w:ascii="Arial" w:hAnsi="Arial" w:cs="Arial"/>
          <w:sz w:val="22"/>
          <w:szCs w:val="22"/>
        </w:rPr>
        <w:t>delle chiusure degli uffici e delle restrizioni alla mobilità</w:t>
      </w:r>
      <w:r w:rsidR="00A0159E">
        <w:rPr>
          <w:rFonts w:ascii="Arial" w:hAnsi="Arial" w:cs="Arial"/>
          <w:sz w:val="22"/>
          <w:szCs w:val="22"/>
        </w:rPr>
        <w:t xml:space="preserve">, </w:t>
      </w:r>
      <w:r w:rsidR="00F52D71">
        <w:rPr>
          <w:rFonts w:ascii="Arial" w:hAnsi="Arial" w:cs="Arial"/>
          <w:sz w:val="22"/>
          <w:szCs w:val="22"/>
        </w:rPr>
        <w:t>con conseguenze</w:t>
      </w:r>
      <w:r w:rsidR="00A0159E">
        <w:rPr>
          <w:rFonts w:ascii="Arial" w:hAnsi="Arial" w:cs="Arial"/>
          <w:sz w:val="22"/>
          <w:szCs w:val="22"/>
        </w:rPr>
        <w:t xml:space="preserve">, </w:t>
      </w:r>
      <w:r w:rsidR="004C7F62" w:rsidRPr="004C7F62">
        <w:rPr>
          <w:rFonts w:ascii="Arial" w:hAnsi="Arial" w:cs="Arial"/>
          <w:sz w:val="22"/>
          <w:szCs w:val="22"/>
        </w:rPr>
        <w:t xml:space="preserve">nel caso dei provvedimenti presso i Tribunali, </w:t>
      </w:r>
      <w:r w:rsidR="00F52D71">
        <w:rPr>
          <w:rFonts w:ascii="Arial" w:hAnsi="Arial" w:cs="Arial"/>
          <w:sz w:val="22"/>
          <w:szCs w:val="22"/>
        </w:rPr>
        <w:t>anche sui</w:t>
      </w:r>
      <w:r w:rsidR="004C7F62" w:rsidRPr="004C7F62">
        <w:rPr>
          <w:rFonts w:ascii="Arial" w:hAnsi="Arial" w:cs="Arial"/>
          <w:sz w:val="22"/>
          <w:szCs w:val="22"/>
        </w:rPr>
        <w:t xml:space="preserve"> </w:t>
      </w:r>
      <w:r w:rsidR="00D30A1D" w:rsidRPr="004C7F62">
        <w:rPr>
          <w:rFonts w:ascii="Arial" w:hAnsi="Arial" w:cs="Arial"/>
          <w:sz w:val="22"/>
          <w:szCs w:val="22"/>
        </w:rPr>
        <w:t xml:space="preserve">procedimenti </w:t>
      </w:r>
      <w:r w:rsidR="00D30A1D">
        <w:rPr>
          <w:rFonts w:ascii="Arial" w:hAnsi="Arial" w:cs="Arial"/>
          <w:sz w:val="22"/>
          <w:szCs w:val="22"/>
        </w:rPr>
        <w:t>di</w:t>
      </w:r>
      <w:r w:rsidR="00F52D71">
        <w:rPr>
          <w:rFonts w:ascii="Arial" w:hAnsi="Arial" w:cs="Arial"/>
          <w:sz w:val="22"/>
          <w:szCs w:val="22"/>
        </w:rPr>
        <w:t xml:space="preserve"> </w:t>
      </w:r>
      <w:r w:rsidR="004C7F62" w:rsidRPr="004C7F62">
        <w:rPr>
          <w:rFonts w:ascii="Arial" w:hAnsi="Arial" w:cs="Arial"/>
          <w:sz w:val="22"/>
          <w:szCs w:val="22"/>
        </w:rPr>
        <w:t>separazion</w:t>
      </w:r>
      <w:r w:rsidR="00D30A1D">
        <w:rPr>
          <w:rFonts w:ascii="Arial" w:hAnsi="Arial" w:cs="Arial"/>
          <w:sz w:val="22"/>
          <w:szCs w:val="22"/>
        </w:rPr>
        <w:t>e</w:t>
      </w:r>
      <w:r w:rsidR="004C7F62" w:rsidRPr="004C7F62">
        <w:rPr>
          <w:rFonts w:ascii="Arial" w:hAnsi="Arial" w:cs="Arial"/>
          <w:sz w:val="22"/>
          <w:szCs w:val="22"/>
        </w:rPr>
        <w:t xml:space="preserve"> </w:t>
      </w:r>
      <w:r w:rsidR="00F52D71">
        <w:rPr>
          <w:rFonts w:ascii="Arial" w:hAnsi="Arial" w:cs="Arial"/>
          <w:sz w:val="22"/>
          <w:szCs w:val="22"/>
        </w:rPr>
        <w:t>o</w:t>
      </w:r>
      <w:r w:rsidR="004C7F62" w:rsidRPr="004C7F62">
        <w:rPr>
          <w:rFonts w:ascii="Arial" w:hAnsi="Arial" w:cs="Arial"/>
          <w:sz w:val="22"/>
          <w:szCs w:val="22"/>
        </w:rPr>
        <w:t xml:space="preserve"> divorzi</w:t>
      </w:r>
      <w:r w:rsidR="00F52D71">
        <w:rPr>
          <w:rFonts w:ascii="Arial" w:hAnsi="Arial" w:cs="Arial"/>
          <w:sz w:val="22"/>
          <w:szCs w:val="22"/>
        </w:rPr>
        <w:t>o</w:t>
      </w:r>
      <w:r w:rsidR="004C7F62" w:rsidRPr="004C7F62">
        <w:rPr>
          <w:rFonts w:ascii="Arial" w:hAnsi="Arial" w:cs="Arial"/>
          <w:sz w:val="22"/>
          <w:szCs w:val="22"/>
        </w:rPr>
        <w:t xml:space="preserve"> </w:t>
      </w:r>
      <w:r w:rsidR="00F52D71">
        <w:rPr>
          <w:rFonts w:ascii="Arial" w:hAnsi="Arial" w:cs="Arial"/>
          <w:sz w:val="22"/>
          <w:szCs w:val="22"/>
        </w:rPr>
        <w:t xml:space="preserve">avviati </w:t>
      </w:r>
      <w:r w:rsidR="004C7F62" w:rsidRPr="004C7F62">
        <w:rPr>
          <w:rFonts w:ascii="Arial" w:hAnsi="Arial" w:cs="Arial"/>
          <w:sz w:val="22"/>
          <w:szCs w:val="22"/>
        </w:rPr>
        <w:t>negli anni precedenti.</w:t>
      </w:r>
      <w:r w:rsidR="00A0159E">
        <w:rPr>
          <w:rFonts w:ascii="Arial" w:hAnsi="Arial" w:cs="Arial"/>
          <w:sz w:val="22"/>
          <w:szCs w:val="22"/>
        </w:rPr>
        <w:t xml:space="preserve"> Tale impatto è stato poi riassorbito nel 2021</w:t>
      </w:r>
      <w:r w:rsidR="00F52D71">
        <w:rPr>
          <w:rFonts w:ascii="Arial" w:hAnsi="Arial" w:cs="Arial"/>
          <w:sz w:val="22"/>
          <w:szCs w:val="22"/>
        </w:rPr>
        <w:t>, quando</w:t>
      </w:r>
      <w:r w:rsidR="00A0159E">
        <w:rPr>
          <w:rFonts w:ascii="Arial" w:hAnsi="Arial" w:cs="Arial"/>
          <w:sz w:val="22"/>
          <w:szCs w:val="22"/>
        </w:rPr>
        <w:t xml:space="preserve"> i livelli sono tornati sostanzialmente quelli pre-pandemici.</w:t>
      </w:r>
    </w:p>
    <w:p w14:paraId="5E46D731" w14:textId="050CC0FA" w:rsidR="00EA71A8" w:rsidRDefault="00E554C8" w:rsidP="00A0159E">
      <w:pPr>
        <w:spacing w:after="120"/>
        <w:jc w:val="both"/>
        <w:outlineLvl w:val="0"/>
        <w:rPr>
          <w:rFonts w:ascii="Arial" w:hAnsi="Arial" w:cs="Arial"/>
          <w:sz w:val="22"/>
          <w:szCs w:val="22"/>
        </w:rPr>
      </w:pPr>
      <w:r>
        <w:rPr>
          <w:rFonts w:ascii="Arial" w:hAnsi="Arial" w:cs="Arial"/>
          <w:sz w:val="22"/>
          <w:szCs w:val="22"/>
        </w:rPr>
        <w:t xml:space="preserve">Nel 2022 si nota un </w:t>
      </w:r>
      <w:r w:rsidR="00D30A1D">
        <w:rPr>
          <w:rFonts w:ascii="Arial" w:hAnsi="Arial" w:cs="Arial"/>
          <w:sz w:val="22"/>
          <w:szCs w:val="22"/>
        </w:rPr>
        <w:t>r</w:t>
      </w:r>
      <w:r>
        <w:rPr>
          <w:rFonts w:ascii="Arial" w:hAnsi="Arial" w:cs="Arial"/>
          <w:sz w:val="22"/>
          <w:szCs w:val="22"/>
        </w:rPr>
        <w:t xml:space="preserve">idimensionamento </w:t>
      </w:r>
      <w:r w:rsidR="00383D5F">
        <w:rPr>
          <w:rFonts w:ascii="Arial" w:hAnsi="Arial" w:cs="Arial"/>
          <w:sz w:val="22"/>
          <w:szCs w:val="22"/>
        </w:rPr>
        <w:t xml:space="preserve">(-10,5%) </w:t>
      </w:r>
      <w:r>
        <w:rPr>
          <w:rFonts w:ascii="Arial" w:hAnsi="Arial" w:cs="Arial"/>
          <w:sz w:val="22"/>
          <w:szCs w:val="22"/>
        </w:rPr>
        <w:t>della componente consensuale delle separazioni (considerando nel loro complesso quelle in Tribunale</w:t>
      </w:r>
      <w:r w:rsidR="00383D5F">
        <w:rPr>
          <w:rFonts w:ascii="Arial" w:hAnsi="Arial" w:cs="Arial"/>
          <w:sz w:val="22"/>
          <w:szCs w:val="22"/>
        </w:rPr>
        <w:t xml:space="preserve"> e quelle extragiudiziali). L’</w:t>
      </w:r>
      <w:r w:rsidR="00A0159E" w:rsidRPr="00A0159E">
        <w:rPr>
          <w:rFonts w:ascii="Arial" w:hAnsi="Arial" w:cs="Arial"/>
          <w:sz w:val="22"/>
          <w:szCs w:val="22"/>
        </w:rPr>
        <w:t xml:space="preserve">83,3% delle separazioni si è concluso </w:t>
      </w:r>
      <w:r w:rsidR="00383D5F">
        <w:rPr>
          <w:rFonts w:ascii="Arial" w:hAnsi="Arial" w:cs="Arial"/>
          <w:sz w:val="22"/>
          <w:szCs w:val="22"/>
        </w:rPr>
        <w:t xml:space="preserve">consensualmente tornando ai livelli del biennio 2015-2016; negli ultimi anni si erano osservate, invece, quote pari o superiori all’85%. </w:t>
      </w:r>
      <w:r w:rsidR="00C72D03">
        <w:rPr>
          <w:rFonts w:ascii="Arial" w:hAnsi="Arial" w:cs="Arial"/>
          <w:sz w:val="22"/>
          <w:szCs w:val="22"/>
        </w:rPr>
        <w:t>L</w:t>
      </w:r>
      <w:r w:rsidR="00C72D03" w:rsidRPr="00D5106F">
        <w:rPr>
          <w:rFonts w:ascii="Arial" w:hAnsi="Arial" w:cs="Arial"/>
          <w:sz w:val="22"/>
          <w:szCs w:val="22"/>
        </w:rPr>
        <w:t xml:space="preserve">e separazioni giudiziali, caratterizzate da una maggiore durata dei procedimenti, mostrano un </w:t>
      </w:r>
      <w:r w:rsidR="00C72D03" w:rsidRPr="00D5106F">
        <w:rPr>
          <w:rFonts w:ascii="Arial" w:hAnsi="Arial" w:cs="Arial"/>
          <w:i/>
          <w:iCs/>
          <w:sz w:val="22"/>
          <w:szCs w:val="22"/>
        </w:rPr>
        <w:t>trend</w:t>
      </w:r>
      <w:r w:rsidR="00C72D03" w:rsidRPr="00D5106F">
        <w:rPr>
          <w:rFonts w:ascii="Arial" w:hAnsi="Arial" w:cs="Arial"/>
          <w:sz w:val="22"/>
          <w:szCs w:val="22"/>
        </w:rPr>
        <w:t xml:space="preserve"> di aumento più diluito nel tempo (+27,8% considera</w:t>
      </w:r>
      <w:r w:rsidR="00F52D71">
        <w:rPr>
          <w:rFonts w:ascii="Arial" w:hAnsi="Arial" w:cs="Arial"/>
          <w:sz w:val="22"/>
          <w:szCs w:val="22"/>
        </w:rPr>
        <w:t>nd</w:t>
      </w:r>
      <w:r w:rsidR="00C72D03" w:rsidRPr="00D5106F">
        <w:rPr>
          <w:rFonts w:ascii="Arial" w:hAnsi="Arial" w:cs="Arial"/>
          <w:sz w:val="22"/>
          <w:szCs w:val="22"/>
        </w:rPr>
        <w:t>o l’aumento del 2022 rispetto al 2020)</w:t>
      </w:r>
      <w:r w:rsidR="00D30A1D">
        <w:rPr>
          <w:rFonts w:ascii="Arial" w:hAnsi="Arial" w:cs="Arial"/>
          <w:sz w:val="22"/>
          <w:szCs w:val="22"/>
        </w:rPr>
        <w:t>,</w:t>
      </w:r>
      <w:r w:rsidR="00C72D03">
        <w:rPr>
          <w:rFonts w:ascii="Arial" w:hAnsi="Arial" w:cs="Arial"/>
          <w:sz w:val="22"/>
          <w:szCs w:val="22"/>
        </w:rPr>
        <w:t xml:space="preserve"> mentre per le separazioni consensuali in Tribunale un aumento </w:t>
      </w:r>
      <w:r w:rsidR="00C72D03" w:rsidRPr="00D5106F">
        <w:rPr>
          <w:rFonts w:ascii="Arial" w:hAnsi="Arial" w:cs="Arial"/>
          <w:sz w:val="22"/>
          <w:szCs w:val="22"/>
        </w:rPr>
        <w:t xml:space="preserve">molto consistente </w:t>
      </w:r>
      <w:r w:rsidR="00C72D03">
        <w:rPr>
          <w:rFonts w:ascii="Arial" w:hAnsi="Arial" w:cs="Arial"/>
          <w:sz w:val="22"/>
          <w:szCs w:val="22"/>
        </w:rPr>
        <w:t xml:space="preserve">era stato già registrato nel 2021 </w:t>
      </w:r>
      <w:r w:rsidR="00C72D03" w:rsidRPr="00D5106F">
        <w:rPr>
          <w:rFonts w:ascii="Arial" w:hAnsi="Arial" w:cs="Arial"/>
          <w:sz w:val="22"/>
          <w:szCs w:val="22"/>
        </w:rPr>
        <w:t>(+29,0%</w:t>
      </w:r>
      <w:r w:rsidR="00C72D03">
        <w:rPr>
          <w:rFonts w:ascii="Arial" w:hAnsi="Arial" w:cs="Arial"/>
          <w:sz w:val="22"/>
          <w:szCs w:val="22"/>
        </w:rPr>
        <w:t xml:space="preserve"> rispetto all’anno precedente</w:t>
      </w:r>
      <w:r w:rsidR="00C72D03" w:rsidRPr="00D5106F">
        <w:rPr>
          <w:rFonts w:ascii="Arial" w:hAnsi="Arial" w:cs="Arial"/>
          <w:sz w:val="22"/>
          <w:szCs w:val="22"/>
        </w:rPr>
        <w:t>)</w:t>
      </w:r>
      <w:r w:rsidR="00C72D03">
        <w:rPr>
          <w:rFonts w:ascii="Arial" w:hAnsi="Arial" w:cs="Arial"/>
          <w:sz w:val="22"/>
          <w:szCs w:val="22"/>
        </w:rPr>
        <w:t>.</w:t>
      </w:r>
    </w:p>
    <w:p w14:paraId="070F6C0F" w14:textId="32892E39" w:rsidR="00242512" w:rsidRDefault="00383D5F" w:rsidP="00A0159E">
      <w:pPr>
        <w:spacing w:after="120"/>
        <w:jc w:val="both"/>
        <w:outlineLvl w:val="0"/>
        <w:rPr>
          <w:rFonts w:ascii="Arial" w:hAnsi="Arial" w:cs="Arial"/>
          <w:sz w:val="22"/>
          <w:szCs w:val="22"/>
        </w:rPr>
      </w:pPr>
      <w:r>
        <w:rPr>
          <w:rFonts w:ascii="Arial" w:hAnsi="Arial" w:cs="Arial"/>
          <w:sz w:val="22"/>
          <w:szCs w:val="22"/>
        </w:rPr>
        <w:t xml:space="preserve">Tradizionalmente più </w:t>
      </w:r>
      <w:r w:rsidR="00A0159E" w:rsidRPr="00A0159E">
        <w:rPr>
          <w:rFonts w:ascii="Arial" w:hAnsi="Arial" w:cs="Arial"/>
          <w:sz w:val="22"/>
          <w:szCs w:val="22"/>
        </w:rPr>
        <w:t xml:space="preserve">contenuta </w:t>
      </w:r>
      <w:r>
        <w:rPr>
          <w:rFonts w:ascii="Arial" w:hAnsi="Arial" w:cs="Arial"/>
          <w:sz w:val="22"/>
          <w:szCs w:val="22"/>
        </w:rPr>
        <w:t xml:space="preserve">rispetto alle separazioni </w:t>
      </w:r>
      <w:r w:rsidR="00A0159E" w:rsidRPr="00A0159E">
        <w:rPr>
          <w:rFonts w:ascii="Arial" w:hAnsi="Arial" w:cs="Arial"/>
          <w:sz w:val="22"/>
          <w:szCs w:val="22"/>
        </w:rPr>
        <w:t>è la</w:t>
      </w:r>
      <w:r>
        <w:rPr>
          <w:rFonts w:ascii="Arial" w:hAnsi="Arial" w:cs="Arial"/>
          <w:sz w:val="22"/>
          <w:szCs w:val="22"/>
        </w:rPr>
        <w:t xml:space="preserve"> quota della componente consensuale nei divorzi</w:t>
      </w:r>
      <w:r w:rsidR="00A0159E" w:rsidRPr="00A0159E">
        <w:rPr>
          <w:rFonts w:ascii="Arial" w:hAnsi="Arial" w:cs="Arial"/>
          <w:sz w:val="22"/>
          <w:szCs w:val="22"/>
        </w:rPr>
        <w:t xml:space="preserve"> (7</w:t>
      </w:r>
      <w:r w:rsidR="00A0159E">
        <w:rPr>
          <w:rFonts w:ascii="Arial" w:hAnsi="Arial" w:cs="Arial"/>
          <w:sz w:val="22"/>
          <w:szCs w:val="22"/>
        </w:rPr>
        <w:t>1</w:t>
      </w:r>
      <w:r w:rsidR="00A0159E" w:rsidRPr="00A0159E">
        <w:rPr>
          <w:rFonts w:ascii="Arial" w:hAnsi="Arial" w:cs="Arial"/>
          <w:sz w:val="22"/>
          <w:szCs w:val="22"/>
        </w:rPr>
        <w:t>,</w:t>
      </w:r>
      <w:r w:rsidR="00A0159E">
        <w:rPr>
          <w:rFonts w:ascii="Arial" w:hAnsi="Arial" w:cs="Arial"/>
          <w:sz w:val="22"/>
          <w:szCs w:val="22"/>
        </w:rPr>
        <w:t>5</w:t>
      </w:r>
      <w:r w:rsidR="00A0159E" w:rsidRPr="00A0159E">
        <w:rPr>
          <w:rFonts w:ascii="Arial" w:hAnsi="Arial" w:cs="Arial"/>
          <w:sz w:val="22"/>
          <w:szCs w:val="22"/>
        </w:rPr>
        <w:t>%)</w:t>
      </w:r>
      <w:r>
        <w:rPr>
          <w:rFonts w:ascii="Arial" w:hAnsi="Arial" w:cs="Arial"/>
          <w:sz w:val="22"/>
          <w:szCs w:val="22"/>
        </w:rPr>
        <w:t>; nel 2022 appare</w:t>
      </w:r>
      <w:r w:rsidR="00A0159E" w:rsidRPr="00A0159E">
        <w:rPr>
          <w:rFonts w:ascii="Arial" w:hAnsi="Arial" w:cs="Arial"/>
          <w:sz w:val="22"/>
          <w:szCs w:val="22"/>
        </w:rPr>
        <w:t xml:space="preserve"> sostanzialmente in linea con l’anno precedente (7</w:t>
      </w:r>
      <w:r w:rsidR="00A0159E">
        <w:rPr>
          <w:rFonts w:ascii="Arial" w:hAnsi="Arial" w:cs="Arial"/>
          <w:sz w:val="22"/>
          <w:szCs w:val="22"/>
        </w:rPr>
        <w:t>0</w:t>
      </w:r>
      <w:r w:rsidR="00A0159E" w:rsidRPr="00A0159E">
        <w:rPr>
          <w:rFonts w:ascii="Arial" w:hAnsi="Arial" w:cs="Arial"/>
          <w:sz w:val="22"/>
          <w:szCs w:val="22"/>
        </w:rPr>
        <w:t>,</w:t>
      </w:r>
      <w:r w:rsidR="00A0159E">
        <w:rPr>
          <w:rFonts w:ascii="Arial" w:hAnsi="Arial" w:cs="Arial"/>
          <w:sz w:val="22"/>
          <w:szCs w:val="22"/>
        </w:rPr>
        <w:t>9</w:t>
      </w:r>
      <w:r w:rsidR="00A0159E" w:rsidRPr="00A0159E">
        <w:rPr>
          <w:rFonts w:ascii="Arial" w:hAnsi="Arial" w:cs="Arial"/>
          <w:sz w:val="22"/>
          <w:szCs w:val="22"/>
        </w:rPr>
        <w:t>%). Dopo il picco del 2016 (78,2%) la proporzione di divorzi consensuali decresce per tornare in prossimità del valore di inizio decennio (72,4% nel 2010).</w:t>
      </w:r>
      <w:r w:rsidR="00C72D03">
        <w:rPr>
          <w:rFonts w:ascii="Arial" w:hAnsi="Arial" w:cs="Arial"/>
          <w:sz w:val="22"/>
          <w:szCs w:val="22"/>
        </w:rPr>
        <w:t xml:space="preserve"> </w:t>
      </w:r>
      <w:r w:rsidR="00242512" w:rsidRPr="00D5106F">
        <w:rPr>
          <w:rFonts w:ascii="Arial" w:hAnsi="Arial" w:cs="Arial"/>
          <w:sz w:val="22"/>
          <w:szCs w:val="22"/>
        </w:rPr>
        <w:t xml:space="preserve">Per i divorzi presso i Tribunali </w:t>
      </w:r>
      <w:r w:rsidR="00D5106F" w:rsidRPr="00D5106F">
        <w:rPr>
          <w:rFonts w:ascii="Arial" w:hAnsi="Arial" w:cs="Arial"/>
          <w:sz w:val="22"/>
          <w:szCs w:val="22"/>
        </w:rPr>
        <w:t>nel</w:t>
      </w:r>
      <w:r w:rsidR="00242512" w:rsidRPr="00D5106F">
        <w:rPr>
          <w:rFonts w:ascii="Arial" w:hAnsi="Arial" w:cs="Arial"/>
          <w:sz w:val="22"/>
          <w:szCs w:val="22"/>
        </w:rPr>
        <w:t xml:space="preserve"> 2022 si </w:t>
      </w:r>
      <w:r w:rsidR="00D5106F" w:rsidRPr="00D5106F">
        <w:rPr>
          <w:rFonts w:ascii="Arial" w:hAnsi="Arial" w:cs="Arial"/>
          <w:sz w:val="22"/>
          <w:szCs w:val="22"/>
        </w:rPr>
        <w:t xml:space="preserve">osserva un lieve aumento </w:t>
      </w:r>
      <w:r w:rsidR="00C72D03" w:rsidRPr="00D5106F">
        <w:rPr>
          <w:rFonts w:ascii="Arial" w:hAnsi="Arial" w:cs="Arial"/>
          <w:sz w:val="22"/>
          <w:szCs w:val="22"/>
        </w:rPr>
        <w:t xml:space="preserve">della componente consensuale </w:t>
      </w:r>
      <w:r w:rsidR="00D5106F" w:rsidRPr="00D5106F">
        <w:rPr>
          <w:rFonts w:ascii="Arial" w:hAnsi="Arial" w:cs="Arial"/>
          <w:sz w:val="22"/>
          <w:szCs w:val="22"/>
        </w:rPr>
        <w:t>(+2,8%)</w:t>
      </w:r>
      <w:r w:rsidR="00C72D03">
        <w:rPr>
          <w:rFonts w:ascii="Arial" w:hAnsi="Arial" w:cs="Arial"/>
          <w:sz w:val="22"/>
          <w:szCs w:val="22"/>
        </w:rPr>
        <w:t xml:space="preserve"> </w:t>
      </w:r>
      <w:r w:rsidR="00D23D54">
        <w:rPr>
          <w:rFonts w:ascii="Arial" w:hAnsi="Arial" w:cs="Arial"/>
          <w:sz w:val="22"/>
          <w:szCs w:val="22"/>
        </w:rPr>
        <w:t>–</w:t>
      </w:r>
      <w:r w:rsidR="00C72D03">
        <w:rPr>
          <w:rFonts w:ascii="Arial" w:hAnsi="Arial" w:cs="Arial"/>
          <w:sz w:val="22"/>
          <w:szCs w:val="22"/>
        </w:rPr>
        <w:t xml:space="preserve"> </w:t>
      </w:r>
      <w:r w:rsidR="00D5106F" w:rsidRPr="00D5106F">
        <w:rPr>
          <w:rFonts w:ascii="Arial" w:hAnsi="Arial" w:cs="Arial"/>
          <w:sz w:val="22"/>
          <w:szCs w:val="22"/>
        </w:rPr>
        <w:t>già in deciso</w:t>
      </w:r>
      <w:r w:rsidR="00C72D03">
        <w:rPr>
          <w:rFonts w:ascii="Arial" w:hAnsi="Arial" w:cs="Arial"/>
          <w:sz w:val="22"/>
          <w:szCs w:val="22"/>
        </w:rPr>
        <w:t xml:space="preserve"> rialzo nel 2021 </w:t>
      </w:r>
      <w:r w:rsidR="00D23D54">
        <w:rPr>
          <w:rFonts w:ascii="Arial" w:hAnsi="Arial" w:cs="Arial"/>
          <w:sz w:val="22"/>
          <w:szCs w:val="22"/>
        </w:rPr>
        <w:t>–</w:t>
      </w:r>
      <w:r w:rsidR="00D5106F" w:rsidRPr="00D5106F">
        <w:rPr>
          <w:rFonts w:ascii="Arial" w:hAnsi="Arial" w:cs="Arial"/>
          <w:sz w:val="22"/>
          <w:szCs w:val="22"/>
        </w:rPr>
        <w:t xml:space="preserve"> e parallelamente un calo speculare dei divorzi con rito giudiziale (-2,8%).</w:t>
      </w:r>
    </w:p>
    <w:p w14:paraId="4A8AA7EE" w14:textId="64C246DF" w:rsidR="00161D0A" w:rsidRDefault="00161D0A" w:rsidP="00C76837">
      <w:pPr>
        <w:spacing w:after="120"/>
        <w:jc w:val="both"/>
        <w:outlineLvl w:val="0"/>
        <w:rPr>
          <w:rFonts w:ascii="Arial" w:hAnsi="Arial" w:cs="Arial"/>
          <w:sz w:val="22"/>
          <w:szCs w:val="22"/>
        </w:rPr>
      </w:pPr>
    </w:p>
    <w:p w14:paraId="11352019" w14:textId="10660A4B" w:rsidR="00242512" w:rsidRDefault="00242512" w:rsidP="00C76837">
      <w:pPr>
        <w:spacing w:after="120"/>
        <w:jc w:val="both"/>
        <w:outlineLvl w:val="0"/>
        <w:rPr>
          <w:rFonts w:ascii="Arial" w:hAnsi="Arial" w:cs="Arial"/>
          <w:sz w:val="22"/>
          <w:szCs w:val="22"/>
        </w:rPr>
      </w:pPr>
    </w:p>
    <w:p w14:paraId="35A5A707" w14:textId="2DA8A95E" w:rsidR="004C004F" w:rsidRDefault="004C004F" w:rsidP="00C76837">
      <w:pPr>
        <w:spacing w:after="120"/>
        <w:jc w:val="both"/>
        <w:outlineLvl w:val="0"/>
        <w:rPr>
          <w:rFonts w:ascii="Arial" w:hAnsi="Arial" w:cs="Arial"/>
          <w:sz w:val="22"/>
          <w:szCs w:val="22"/>
        </w:rPr>
      </w:pPr>
    </w:p>
    <w:p w14:paraId="7751CCF7" w14:textId="5A157850" w:rsidR="004C004F" w:rsidRPr="00E877A9" w:rsidRDefault="004C004F" w:rsidP="00C76837">
      <w:pPr>
        <w:spacing w:after="120"/>
        <w:jc w:val="both"/>
        <w:outlineLvl w:val="0"/>
        <w:rPr>
          <w:rFonts w:ascii="Arial" w:hAnsi="Arial" w:cs="Arial"/>
          <w:sz w:val="32"/>
          <w:szCs w:val="22"/>
        </w:rPr>
      </w:pPr>
    </w:p>
    <w:p w14:paraId="5E701075" w14:textId="36765EAA" w:rsidR="002B7B61" w:rsidRDefault="00235A69" w:rsidP="00235A69">
      <w:pPr>
        <w:autoSpaceDE w:val="0"/>
        <w:autoSpaceDN w:val="0"/>
        <w:adjustRightInd w:val="0"/>
        <w:spacing w:after="240"/>
        <w:rPr>
          <w:rFonts w:ascii="Arial Narrow" w:hAnsi="Arial Narrow" w:cs="Arial"/>
          <w:color w:val="1F497D" w:themeColor="text2"/>
          <w:sz w:val="22"/>
          <w:szCs w:val="22"/>
        </w:rPr>
      </w:pPr>
      <w:r>
        <w:rPr>
          <w:rFonts w:ascii="Arial Black" w:hAnsi="Arial Black" w:cs="Arial"/>
          <w:iCs/>
          <w:noProof/>
          <w:color w:val="1F497D" w:themeColor="text2"/>
          <w:sz w:val="22"/>
          <w:szCs w:val="22"/>
        </w:rPr>
        <w:t>F</w:t>
      </w:r>
      <w:r w:rsidRPr="005D02DA">
        <w:rPr>
          <w:rFonts w:ascii="Arial Black" w:hAnsi="Arial Black" w:cs="Arial"/>
          <w:iCs/>
          <w:noProof/>
          <w:color w:val="1F497D" w:themeColor="text2"/>
          <w:sz w:val="22"/>
          <w:szCs w:val="22"/>
        </w:rPr>
        <w:t xml:space="preserve">IGURA </w:t>
      </w:r>
      <w:r w:rsidR="004975C0">
        <w:rPr>
          <w:rFonts w:ascii="Arial Black" w:hAnsi="Arial Black" w:cs="Arial"/>
          <w:iCs/>
          <w:noProof/>
          <w:color w:val="1F497D" w:themeColor="text2"/>
          <w:sz w:val="22"/>
          <w:szCs w:val="22"/>
        </w:rPr>
        <w:t>7</w:t>
      </w:r>
      <w:r w:rsidRPr="005D02DA">
        <w:rPr>
          <w:rFonts w:ascii="Arial Black" w:hAnsi="Arial Black" w:cs="Arial"/>
          <w:iCs/>
          <w:noProof/>
          <w:color w:val="1F497D" w:themeColor="text2"/>
          <w:sz w:val="22"/>
          <w:szCs w:val="22"/>
        </w:rPr>
        <w:t>.</w:t>
      </w:r>
      <w:r>
        <w:rPr>
          <w:rFonts w:ascii="Arial Narrow" w:hAnsi="Arial Narrow" w:cs="Arial"/>
          <w:b/>
          <w:iCs/>
          <w:noProof/>
          <w:color w:val="1F497D" w:themeColor="text2"/>
          <w:sz w:val="22"/>
          <w:szCs w:val="22"/>
        </w:rPr>
        <w:t xml:space="preserve"> SEPARAZIONI E DIVORZI</w:t>
      </w:r>
      <w:r w:rsidRPr="00FA7550">
        <w:t xml:space="preserve"> </w:t>
      </w:r>
      <w:r w:rsidRPr="00FA7550">
        <w:rPr>
          <w:rFonts w:ascii="Arial Narrow" w:hAnsi="Arial Narrow" w:cs="Arial"/>
          <w:b/>
          <w:iCs/>
          <w:noProof/>
          <w:color w:val="1F497D" w:themeColor="text2"/>
          <w:sz w:val="22"/>
          <w:szCs w:val="22"/>
        </w:rPr>
        <w:t>PER RITO DI ESAURIMENTO DEL PROCEDIMENTO E TIP</w:t>
      </w:r>
      <w:r>
        <w:rPr>
          <w:rFonts w:ascii="Arial Narrow" w:hAnsi="Arial Narrow" w:cs="Arial"/>
          <w:b/>
          <w:iCs/>
          <w:noProof/>
          <w:color w:val="1F497D" w:themeColor="text2"/>
          <w:sz w:val="22"/>
          <w:szCs w:val="22"/>
        </w:rPr>
        <w:t xml:space="preserve">O DI ACCORDO. </w:t>
      </w:r>
      <w:r w:rsidRPr="0065736C">
        <w:rPr>
          <w:rFonts w:ascii="Arial Narrow" w:hAnsi="Arial Narrow" w:cs="Arial"/>
          <w:color w:val="1F497D" w:themeColor="text2"/>
          <w:sz w:val="22"/>
          <w:szCs w:val="22"/>
        </w:rPr>
        <w:t>A</w:t>
      </w:r>
      <w:r>
        <w:rPr>
          <w:rFonts w:ascii="Arial Narrow" w:hAnsi="Arial Narrow" w:cs="Arial"/>
          <w:color w:val="1F497D" w:themeColor="text2"/>
          <w:sz w:val="22"/>
          <w:szCs w:val="22"/>
        </w:rPr>
        <w:t>nni 2010-20</w:t>
      </w:r>
      <w:r w:rsidR="009C09FB">
        <w:rPr>
          <w:rFonts w:ascii="Arial Narrow" w:hAnsi="Arial Narrow" w:cs="Arial"/>
          <w:color w:val="1F497D" w:themeColor="text2"/>
          <w:sz w:val="22"/>
          <w:szCs w:val="22"/>
        </w:rPr>
        <w:t>2</w:t>
      </w:r>
      <w:r w:rsidR="00DE19BF">
        <w:rPr>
          <w:rFonts w:ascii="Arial Narrow" w:hAnsi="Arial Narrow" w:cs="Arial"/>
          <w:color w:val="1F497D" w:themeColor="text2"/>
          <w:sz w:val="22"/>
          <w:szCs w:val="22"/>
        </w:rPr>
        <w:t>2</w:t>
      </w:r>
      <w:r w:rsidRPr="0065736C">
        <w:rPr>
          <w:rFonts w:ascii="Arial Narrow" w:hAnsi="Arial Narrow" w:cs="Arial"/>
          <w:color w:val="1F497D" w:themeColor="text2"/>
          <w:sz w:val="22"/>
          <w:szCs w:val="22"/>
        </w:rPr>
        <w:t xml:space="preserve">, </w:t>
      </w:r>
      <w:r>
        <w:rPr>
          <w:rFonts w:ascii="Arial Narrow" w:hAnsi="Arial Narrow" w:cs="Arial"/>
          <w:color w:val="1F497D" w:themeColor="text2"/>
          <w:sz w:val="22"/>
          <w:szCs w:val="22"/>
        </w:rPr>
        <w:t xml:space="preserve">valori assoluti </w:t>
      </w:r>
    </w:p>
    <w:p w14:paraId="49A27D12" w14:textId="5C7B0ED0" w:rsidR="00892B8F" w:rsidRDefault="00DE19BF" w:rsidP="00235A69">
      <w:pPr>
        <w:autoSpaceDE w:val="0"/>
        <w:autoSpaceDN w:val="0"/>
        <w:adjustRightInd w:val="0"/>
        <w:spacing w:after="240"/>
        <w:rPr>
          <w:rFonts w:ascii="Arial Narrow" w:hAnsi="Arial Narrow" w:cs="Arial"/>
          <w:color w:val="1F497D" w:themeColor="text2"/>
          <w:sz w:val="22"/>
          <w:szCs w:val="22"/>
        </w:rPr>
      </w:pPr>
      <w:r>
        <w:rPr>
          <w:noProof/>
        </w:rPr>
        <w:drawing>
          <wp:inline distT="0" distB="0" distL="0" distR="0" wp14:anchorId="77F4243D" wp14:editId="67998849">
            <wp:extent cx="3190875" cy="2241073"/>
            <wp:effectExtent l="0" t="0" r="0" b="6985"/>
            <wp:docPr id="34" name="Gra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rPr>
        <w:drawing>
          <wp:inline distT="0" distB="0" distL="0" distR="0" wp14:anchorId="0606EAD9" wp14:editId="6A5EEE97">
            <wp:extent cx="3086100" cy="2238290"/>
            <wp:effectExtent l="0" t="0" r="0" b="0"/>
            <wp:docPr id="35" name="Gra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B7AE5E6" w14:textId="373D5F95" w:rsidR="005B7986" w:rsidRPr="003A36C5" w:rsidRDefault="005B7986" w:rsidP="00E334AB">
      <w:pPr>
        <w:spacing w:after="120"/>
        <w:jc w:val="both"/>
        <w:outlineLvl w:val="0"/>
        <w:rPr>
          <w:rFonts w:ascii="Arial" w:hAnsi="Arial" w:cs="Arial"/>
          <w:bCs/>
          <w:color w:val="1F497D" w:themeColor="text2"/>
          <w:sz w:val="22"/>
          <w:szCs w:val="22"/>
        </w:rPr>
      </w:pPr>
    </w:p>
    <w:p w14:paraId="35160064" w14:textId="55E0C88E" w:rsidR="00E334AB" w:rsidRPr="00C72D03" w:rsidRDefault="00E334AB" w:rsidP="00E334AB">
      <w:pPr>
        <w:spacing w:after="120"/>
        <w:jc w:val="both"/>
        <w:outlineLvl w:val="0"/>
        <w:rPr>
          <w:rFonts w:ascii="Arial" w:hAnsi="Arial" w:cs="Arial"/>
          <w:b/>
          <w:color w:val="1F497D" w:themeColor="text2"/>
          <w:sz w:val="26"/>
          <w:szCs w:val="26"/>
        </w:rPr>
      </w:pPr>
      <w:r w:rsidRPr="00C72D03">
        <w:rPr>
          <w:rFonts w:ascii="Arial" w:hAnsi="Arial" w:cs="Arial"/>
          <w:b/>
          <w:color w:val="1F497D" w:themeColor="text2"/>
          <w:sz w:val="26"/>
          <w:szCs w:val="26"/>
        </w:rPr>
        <w:t>Separazioni e divorzi non più soltanto in Tribunale</w:t>
      </w:r>
    </w:p>
    <w:p w14:paraId="2117E00C" w14:textId="47401B26" w:rsidR="002C1394" w:rsidRDefault="00C72D03" w:rsidP="00E334AB">
      <w:pPr>
        <w:spacing w:after="120"/>
        <w:jc w:val="both"/>
        <w:outlineLvl w:val="0"/>
        <w:rPr>
          <w:rFonts w:ascii="Arial" w:hAnsi="Arial" w:cs="Arial"/>
          <w:sz w:val="22"/>
          <w:szCs w:val="22"/>
          <w:highlight w:val="green"/>
        </w:rPr>
      </w:pPr>
      <w:r w:rsidRPr="00ED09F2">
        <w:rPr>
          <w:rFonts w:ascii="Arial" w:hAnsi="Arial" w:cs="Arial"/>
          <w:sz w:val="22"/>
          <w:szCs w:val="22"/>
        </w:rPr>
        <w:t xml:space="preserve">Nel 2022 </w:t>
      </w:r>
      <w:r w:rsidR="00C71266" w:rsidRPr="00ED09F2">
        <w:rPr>
          <w:rFonts w:ascii="Arial" w:hAnsi="Arial" w:cs="Arial"/>
          <w:sz w:val="22"/>
          <w:szCs w:val="22"/>
        </w:rPr>
        <w:t>una separazione su quattro</w:t>
      </w:r>
      <w:r w:rsidR="007E5708" w:rsidRPr="00ED09F2">
        <w:rPr>
          <w:rFonts w:ascii="Arial" w:hAnsi="Arial" w:cs="Arial"/>
          <w:sz w:val="22"/>
          <w:szCs w:val="22"/>
        </w:rPr>
        <w:t xml:space="preserve"> e il 28,9% dei divorzi si sono conclusi con procedure </w:t>
      </w:r>
      <w:r w:rsidR="00ED09F2" w:rsidRPr="00ED09F2">
        <w:rPr>
          <w:rFonts w:ascii="Arial" w:hAnsi="Arial" w:cs="Arial"/>
          <w:sz w:val="22"/>
          <w:szCs w:val="22"/>
        </w:rPr>
        <w:t xml:space="preserve">extragiudiziali. </w:t>
      </w:r>
      <w:r w:rsidR="004355F3">
        <w:rPr>
          <w:rFonts w:ascii="Arial" w:hAnsi="Arial" w:cs="Arial"/>
          <w:sz w:val="22"/>
          <w:szCs w:val="22"/>
        </w:rPr>
        <w:t>L</w:t>
      </w:r>
      <w:r w:rsidR="00501AD4">
        <w:rPr>
          <w:rFonts w:ascii="Arial" w:hAnsi="Arial" w:cs="Arial"/>
          <w:sz w:val="22"/>
          <w:szCs w:val="22"/>
        </w:rPr>
        <w:t>e</w:t>
      </w:r>
      <w:r w:rsidR="004355F3">
        <w:rPr>
          <w:rFonts w:ascii="Arial" w:hAnsi="Arial" w:cs="Arial"/>
          <w:sz w:val="22"/>
          <w:szCs w:val="22"/>
        </w:rPr>
        <w:t xml:space="preserve"> due</w:t>
      </w:r>
      <w:r w:rsidR="00ED09F2" w:rsidRPr="00E554C8">
        <w:rPr>
          <w:rFonts w:ascii="Arial" w:hAnsi="Arial" w:cs="Arial"/>
          <w:sz w:val="22"/>
          <w:szCs w:val="22"/>
        </w:rPr>
        <w:t xml:space="preserve"> fattispecie </w:t>
      </w:r>
      <w:r w:rsidR="004355F3">
        <w:rPr>
          <w:rFonts w:ascii="Arial" w:hAnsi="Arial" w:cs="Arial"/>
          <w:sz w:val="22"/>
          <w:szCs w:val="22"/>
        </w:rPr>
        <w:t xml:space="preserve">introdotte </w:t>
      </w:r>
      <w:r w:rsidR="004355F3" w:rsidRPr="00E554C8">
        <w:rPr>
          <w:rFonts w:ascii="Arial" w:hAnsi="Arial" w:cs="Arial"/>
          <w:sz w:val="22"/>
          <w:szCs w:val="22"/>
        </w:rPr>
        <w:t>d</w:t>
      </w:r>
      <w:r w:rsidR="00D30A1D">
        <w:rPr>
          <w:rFonts w:ascii="Arial" w:hAnsi="Arial" w:cs="Arial"/>
          <w:sz w:val="22"/>
          <w:szCs w:val="22"/>
        </w:rPr>
        <w:t>a</w:t>
      </w:r>
      <w:r w:rsidR="004355F3" w:rsidRPr="00E554C8">
        <w:rPr>
          <w:rFonts w:ascii="Arial" w:hAnsi="Arial" w:cs="Arial"/>
          <w:sz w:val="22"/>
          <w:szCs w:val="22"/>
        </w:rPr>
        <w:t>l Decreto legge 132/2014</w:t>
      </w:r>
      <w:r w:rsidR="004355F3">
        <w:rPr>
          <w:rFonts w:ascii="Arial" w:hAnsi="Arial" w:cs="Arial"/>
          <w:sz w:val="22"/>
          <w:szCs w:val="22"/>
        </w:rPr>
        <w:t xml:space="preserve"> </w:t>
      </w:r>
      <w:r w:rsidR="00ED09F2" w:rsidRPr="00E554C8">
        <w:rPr>
          <w:rFonts w:ascii="Arial" w:hAnsi="Arial" w:cs="Arial"/>
          <w:sz w:val="22"/>
          <w:szCs w:val="22"/>
        </w:rPr>
        <w:t>per chi intenda separarsi</w:t>
      </w:r>
      <w:r w:rsidR="00501AD4">
        <w:rPr>
          <w:rFonts w:ascii="Arial" w:hAnsi="Arial" w:cs="Arial"/>
          <w:sz w:val="22"/>
          <w:szCs w:val="22"/>
        </w:rPr>
        <w:t xml:space="preserve"> o </w:t>
      </w:r>
      <w:r w:rsidR="007C32D5">
        <w:rPr>
          <w:rFonts w:ascii="Arial" w:hAnsi="Arial" w:cs="Arial"/>
          <w:sz w:val="22"/>
          <w:szCs w:val="22"/>
        </w:rPr>
        <w:t>divorziare</w:t>
      </w:r>
      <w:r w:rsidR="007C32D5" w:rsidRPr="00E554C8">
        <w:rPr>
          <w:rFonts w:ascii="Arial" w:hAnsi="Arial" w:cs="Arial"/>
          <w:sz w:val="22"/>
          <w:szCs w:val="22"/>
        </w:rPr>
        <w:t xml:space="preserve"> </w:t>
      </w:r>
      <w:r w:rsidR="00ED09F2" w:rsidRPr="00E554C8">
        <w:rPr>
          <w:rFonts w:ascii="Arial" w:hAnsi="Arial" w:cs="Arial"/>
          <w:sz w:val="22"/>
          <w:szCs w:val="22"/>
        </w:rPr>
        <w:t>consensualmente</w:t>
      </w:r>
      <w:r w:rsidR="00D30A1D">
        <w:rPr>
          <w:rFonts w:ascii="Arial" w:hAnsi="Arial" w:cs="Arial"/>
          <w:sz w:val="22"/>
          <w:szCs w:val="22"/>
        </w:rPr>
        <w:t>,</w:t>
      </w:r>
      <w:r w:rsidR="00ED09F2" w:rsidRPr="00E554C8">
        <w:rPr>
          <w:rFonts w:ascii="Arial" w:hAnsi="Arial" w:cs="Arial"/>
          <w:sz w:val="22"/>
          <w:szCs w:val="22"/>
        </w:rPr>
        <w:t xml:space="preserve"> in alternativa alla tradizionale ratifica da parte del giudice</w:t>
      </w:r>
      <w:r w:rsidR="00D30A1D">
        <w:rPr>
          <w:rFonts w:ascii="Arial" w:hAnsi="Arial" w:cs="Arial"/>
          <w:sz w:val="22"/>
          <w:szCs w:val="22"/>
        </w:rPr>
        <w:t>,</w:t>
      </w:r>
      <w:r w:rsidR="00501AD4">
        <w:rPr>
          <w:rFonts w:ascii="Arial" w:hAnsi="Arial" w:cs="Arial"/>
          <w:sz w:val="22"/>
          <w:szCs w:val="22"/>
        </w:rPr>
        <w:t xml:space="preserve"> sono</w:t>
      </w:r>
      <w:r w:rsidR="00ED09F2" w:rsidRPr="00E554C8">
        <w:rPr>
          <w:rFonts w:ascii="Arial" w:hAnsi="Arial" w:cs="Arial"/>
          <w:sz w:val="22"/>
          <w:szCs w:val="22"/>
        </w:rPr>
        <w:t xml:space="preserve">: </w:t>
      </w:r>
      <w:r w:rsidR="00F52D71">
        <w:rPr>
          <w:rFonts w:ascii="Arial" w:hAnsi="Arial" w:cs="Arial"/>
          <w:sz w:val="22"/>
          <w:szCs w:val="22"/>
        </w:rPr>
        <w:t xml:space="preserve">la </w:t>
      </w:r>
      <w:r w:rsidR="00ED09F2" w:rsidRPr="00E554C8">
        <w:rPr>
          <w:rFonts w:ascii="Arial" w:hAnsi="Arial" w:cs="Arial"/>
          <w:sz w:val="22"/>
          <w:szCs w:val="22"/>
        </w:rPr>
        <w:t xml:space="preserve">convenzione di negoziazione assistita da almeno un avvocato per parte (ex art. 6); </w:t>
      </w:r>
      <w:r w:rsidR="00370405">
        <w:rPr>
          <w:rFonts w:ascii="Arial" w:hAnsi="Arial" w:cs="Arial"/>
          <w:sz w:val="22"/>
          <w:szCs w:val="22"/>
        </w:rPr>
        <w:t>l’accordo</w:t>
      </w:r>
      <w:r w:rsidR="00F52D71">
        <w:rPr>
          <w:rFonts w:ascii="Arial" w:hAnsi="Arial" w:cs="Arial"/>
          <w:sz w:val="22"/>
          <w:szCs w:val="22"/>
        </w:rPr>
        <w:t xml:space="preserve"> </w:t>
      </w:r>
      <w:r w:rsidR="00ED09F2" w:rsidRPr="00E554C8">
        <w:rPr>
          <w:rFonts w:ascii="Arial" w:hAnsi="Arial" w:cs="Arial"/>
          <w:sz w:val="22"/>
          <w:szCs w:val="22"/>
        </w:rPr>
        <w:t xml:space="preserve">innanzi all’Ufficiale di Stato Civile in assenza di patti di trasferimento patrimoniale e di figli minori, </w:t>
      </w:r>
      <w:r w:rsidR="00501AD4">
        <w:rPr>
          <w:rFonts w:ascii="Arial" w:hAnsi="Arial" w:cs="Arial"/>
          <w:sz w:val="22"/>
          <w:szCs w:val="22"/>
        </w:rPr>
        <w:t>di figli maggiorenni incapaci/</w:t>
      </w:r>
      <w:r w:rsidR="00ED09F2" w:rsidRPr="00E554C8">
        <w:rPr>
          <w:rFonts w:ascii="Arial" w:hAnsi="Arial" w:cs="Arial"/>
          <w:sz w:val="22"/>
          <w:szCs w:val="22"/>
        </w:rPr>
        <w:t xml:space="preserve">portatori di handicap grave </w:t>
      </w:r>
      <w:r w:rsidR="00501AD4">
        <w:rPr>
          <w:rFonts w:ascii="Arial" w:hAnsi="Arial" w:cs="Arial"/>
          <w:sz w:val="22"/>
          <w:szCs w:val="22"/>
        </w:rPr>
        <w:t xml:space="preserve">o </w:t>
      </w:r>
      <w:r w:rsidR="00ED09F2" w:rsidRPr="00E554C8">
        <w:rPr>
          <w:rFonts w:ascii="Arial" w:hAnsi="Arial" w:cs="Arial"/>
          <w:sz w:val="22"/>
          <w:szCs w:val="22"/>
        </w:rPr>
        <w:t>economicamente non autosufficienti (ex art. 12</w:t>
      </w:r>
      <w:r w:rsidR="00ED09F2" w:rsidRPr="002C1394">
        <w:rPr>
          <w:rFonts w:ascii="Arial" w:hAnsi="Arial" w:cs="Arial"/>
          <w:sz w:val="22"/>
          <w:szCs w:val="22"/>
        </w:rPr>
        <w:t>).</w:t>
      </w:r>
      <w:r w:rsidR="002C1394" w:rsidRPr="002C1394">
        <w:rPr>
          <w:rFonts w:ascii="Arial" w:hAnsi="Arial" w:cs="Arial"/>
          <w:sz w:val="22"/>
          <w:szCs w:val="22"/>
        </w:rPr>
        <w:t xml:space="preserve"> </w:t>
      </w:r>
      <w:r w:rsidR="00501AD4" w:rsidRPr="002C1394">
        <w:rPr>
          <w:rFonts w:ascii="Arial" w:hAnsi="Arial" w:cs="Arial"/>
          <w:sz w:val="22"/>
          <w:szCs w:val="22"/>
        </w:rPr>
        <w:t xml:space="preserve">Il peso di queste due “nuove” procedure </w:t>
      </w:r>
      <w:r w:rsidR="004355F3">
        <w:rPr>
          <w:rFonts w:ascii="Arial" w:hAnsi="Arial" w:cs="Arial"/>
          <w:sz w:val="22"/>
          <w:szCs w:val="22"/>
        </w:rPr>
        <w:t xml:space="preserve">nel 2022 </w:t>
      </w:r>
      <w:r w:rsidR="00F52D71">
        <w:rPr>
          <w:rFonts w:ascii="Arial" w:hAnsi="Arial" w:cs="Arial"/>
          <w:sz w:val="22"/>
          <w:szCs w:val="22"/>
        </w:rPr>
        <w:t>corrisponde</w:t>
      </w:r>
      <w:r w:rsidR="00E334AB" w:rsidRPr="002C1394">
        <w:rPr>
          <w:rFonts w:ascii="Arial" w:hAnsi="Arial" w:cs="Arial"/>
          <w:sz w:val="22"/>
          <w:szCs w:val="22"/>
        </w:rPr>
        <w:t xml:space="preserve"> rispettivamente </w:t>
      </w:r>
      <w:r w:rsidR="00F52D71">
        <w:rPr>
          <w:rFonts w:ascii="Arial" w:hAnsi="Arial" w:cs="Arial"/>
          <w:sz w:val="22"/>
          <w:szCs w:val="22"/>
        </w:rPr>
        <w:t>a</w:t>
      </w:r>
      <w:r w:rsidR="00E334AB" w:rsidRPr="002C1394">
        <w:rPr>
          <w:rFonts w:ascii="Arial" w:hAnsi="Arial" w:cs="Arial"/>
          <w:sz w:val="22"/>
          <w:szCs w:val="22"/>
        </w:rPr>
        <w:t xml:space="preserve">l 29,7% </w:t>
      </w:r>
      <w:r w:rsidR="00501AD4" w:rsidRPr="002C1394">
        <w:rPr>
          <w:rFonts w:ascii="Arial" w:hAnsi="Arial" w:cs="Arial"/>
          <w:sz w:val="22"/>
          <w:szCs w:val="22"/>
        </w:rPr>
        <w:t>delle separazioni</w:t>
      </w:r>
      <w:r w:rsidR="002C1394" w:rsidRPr="002C1394">
        <w:rPr>
          <w:rFonts w:ascii="Arial" w:hAnsi="Arial" w:cs="Arial"/>
          <w:sz w:val="22"/>
          <w:szCs w:val="22"/>
        </w:rPr>
        <w:t xml:space="preserve"> consensuali</w:t>
      </w:r>
      <w:r w:rsidR="00501AD4" w:rsidRPr="002C1394">
        <w:rPr>
          <w:rFonts w:ascii="Arial" w:hAnsi="Arial" w:cs="Arial"/>
          <w:sz w:val="22"/>
          <w:szCs w:val="22"/>
        </w:rPr>
        <w:t xml:space="preserve"> e </w:t>
      </w:r>
      <w:r w:rsidR="00F52D71">
        <w:rPr>
          <w:rFonts w:ascii="Arial" w:hAnsi="Arial" w:cs="Arial"/>
          <w:sz w:val="22"/>
          <w:szCs w:val="22"/>
        </w:rPr>
        <w:t>a</w:t>
      </w:r>
      <w:r w:rsidR="002C1394" w:rsidRPr="002C1394">
        <w:rPr>
          <w:rFonts w:ascii="Arial" w:hAnsi="Arial" w:cs="Arial"/>
          <w:sz w:val="22"/>
          <w:szCs w:val="22"/>
        </w:rPr>
        <w:t>l 40,4% dei divorzi consensuali</w:t>
      </w:r>
      <w:r w:rsidR="00E334AB" w:rsidRPr="002C1394">
        <w:rPr>
          <w:rFonts w:ascii="Arial" w:hAnsi="Arial" w:cs="Arial"/>
          <w:sz w:val="22"/>
          <w:szCs w:val="22"/>
        </w:rPr>
        <w:t>.</w:t>
      </w:r>
    </w:p>
    <w:p w14:paraId="04709D16" w14:textId="30A7F61F" w:rsidR="002C1394" w:rsidRPr="002C1394" w:rsidRDefault="002C1394" w:rsidP="00E334AB">
      <w:pPr>
        <w:spacing w:after="120"/>
        <w:jc w:val="both"/>
        <w:outlineLvl w:val="0"/>
        <w:rPr>
          <w:rFonts w:ascii="Arial" w:hAnsi="Arial" w:cs="Arial"/>
          <w:sz w:val="22"/>
          <w:szCs w:val="22"/>
        </w:rPr>
      </w:pPr>
      <w:r w:rsidRPr="002C1394">
        <w:rPr>
          <w:rFonts w:ascii="Arial" w:hAnsi="Arial" w:cs="Arial"/>
          <w:sz w:val="22"/>
          <w:szCs w:val="22"/>
        </w:rPr>
        <w:t>Negli accordi extragiudiziali per separarsi o divorziare l</w:t>
      </w:r>
      <w:r w:rsidR="00E334AB" w:rsidRPr="002C1394">
        <w:rPr>
          <w:rFonts w:ascii="Arial" w:hAnsi="Arial" w:cs="Arial"/>
          <w:sz w:val="22"/>
          <w:szCs w:val="22"/>
        </w:rPr>
        <w:t>a componente più consistente è quella degli accordi direttamente presso gli Uffici di Stato Civile (ex art. 12). Nel 202</w:t>
      </w:r>
      <w:r w:rsidRPr="002C1394">
        <w:rPr>
          <w:rFonts w:ascii="Arial" w:hAnsi="Arial" w:cs="Arial"/>
          <w:sz w:val="22"/>
          <w:szCs w:val="22"/>
        </w:rPr>
        <w:t>2</w:t>
      </w:r>
      <w:r w:rsidR="004F5D13">
        <w:rPr>
          <w:rFonts w:ascii="Arial" w:hAnsi="Arial" w:cs="Arial"/>
          <w:sz w:val="22"/>
          <w:szCs w:val="22"/>
        </w:rPr>
        <w:t>,</w:t>
      </w:r>
      <w:r w:rsidR="00E334AB" w:rsidRPr="002C1394">
        <w:rPr>
          <w:rFonts w:ascii="Arial" w:hAnsi="Arial" w:cs="Arial"/>
          <w:sz w:val="22"/>
          <w:szCs w:val="22"/>
        </w:rPr>
        <w:t xml:space="preserve"> 13.</w:t>
      </w:r>
      <w:r w:rsidRPr="002C1394">
        <w:rPr>
          <w:rFonts w:ascii="Arial" w:hAnsi="Arial" w:cs="Arial"/>
          <w:sz w:val="22"/>
          <w:szCs w:val="22"/>
        </w:rPr>
        <w:t>701</w:t>
      </w:r>
      <w:r w:rsidR="00E334AB" w:rsidRPr="002C1394">
        <w:rPr>
          <w:rFonts w:ascii="Arial" w:hAnsi="Arial" w:cs="Arial"/>
          <w:sz w:val="22"/>
          <w:szCs w:val="22"/>
        </w:rPr>
        <w:t xml:space="preserve"> separazioni e 17.</w:t>
      </w:r>
      <w:r w:rsidRPr="002C1394">
        <w:rPr>
          <w:rFonts w:ascii="Arial" w:hAnsi="Arial" w:cs="Arial"/>
          <w:sz w:val="22"/>
          <w:szCs w:val="22"/>
        </w:rPr>
        <w:t>134</w:t>
      </w:r>
      <w:r w:rsidR="00E334AB" w:rsidRPr="002C1394">
        <w:rPr>
          <w:rFonts w:ascii="Arial" w:hAnsi="Arial" w:cs="Arial"/>
          <w:sz w:val="22"/>
          <w:szCs w:val="22"/>
        </w:rPr>
        <w:t xml:space="preserve"> divorzi sono stati effettuati direttamente presso il Comune (con tempi e costi molto più bassi rispetto alle altre </w:t>
      </w:r>
      <w:r w:rsidR="004355F3">
        <w:rPr>
          <w:rFonts w:ascii="Arial" w:hAnsi="Arial" w:cs="Arial"/>
          <w:sz w:val="22"/>
          <w:szCs w:val="22"/>
        </w:rPr>
        <w:t>procedure</w:t>
      </w:r>
      <w:r w:rsidR="00E334AB" w:rsidRPr="002C1394">
        <w:rPr>
          <w:rFonts w:ascii="Arial" w:hAnsi="Arial" w:cs="Arial"/>
          <w:sz w:val="22"/>
          <w:szCs w:val="22"/>
        </w:rPr>
        <w:t>): si tratta del 1</w:t>
      </w:r>
      <w:r w:rsidRPr="002C1394">
        <w:rPr>
          <w:rFonts w:ascii="Arial" w:hAnsi="Arial" w:cs="Arial"/>
          <w:sz w:val="22"/>
          <w:szCs w:val="22"/>
        </w:rPr>
        <w:t>5</w:t>
      </w:r>
      <w:r w:rsidR="00E334AB" w:rsidRPr="002C1394">
        <w:rPr>
          <w:rFonts w:ascii="Arial" w:hAnsi="Arial" w:cs="Arial"/>
          <w:sz w:val="22"/>
          <w:szCs w:val="22"/>
        </w:rPr>
        <w:t>,</w:t>
      </w:r>
      <w:r w:rsidRPr="002C1394">
        <w:rPr>
          <w:rFonts w:ascii="Arial" w:hAnsi="Arial" w:cs="Arial"/>
          <w:sz w:val="22"/>
          <w:szCs w:val="22"/>
        </w:rPr>
        <w:t>2</w:t>
      </w:r>
      <w:r w:rsidR="00E334AB" w:rsidRPr="002C1394">
        <w:rPr>
          <w:rFonts w:ascii="Arial" w:hAnsi="Arial" w:cs="Arial"/>
          <w:sz w:val="22"/>
          <w:szCs w:val="22"/>
        </w:rPr>
        <w:t>% di tutte le separazioni e del 2</w:t>
      </w:r>
      <w:r w:rsidRPr="002C1394">
        <w:rPr>
          <w:rFonts w:ascii="Arial" w:hAnsi="Arial" w:cs="Arial"/>
          <w:sz w:val="22"/>
          <w:szCs w:val="22"/>
        </w:rPr>
        <w:t>0</w:t>
      </w:r>
      <w:r w:rsidR="00E334AB" w:rsidRPr="002C1394">
        <w:rPr>
          <w:rFonts w:ascii="Arial" w:hAnsi="Arial" w:cs="Arial"/>
          <w:sz w:val="22"/>
          <w:szCs w:val="22"/>
        </w:rPr>
        <w:t>,</w:t>
      </w:r>
      <w:r w:rsidRPr="002C1394">
        <w:rPr>
          <w:rFonts w:ascii="Arial" w:hAnsi="Arial" w:cs="Arial"/>
          <w:sz w:val="22"/>
          <w:szCs w:val="22"/>
        </w:rPr>
        <w:t>7</w:t>
      </w:r>
      <w:r w:rsidR="00E334AB" w:rsidRPr="002C1394">
        <w:rPr>
          <w:rFonts w:ascii="Arial" w:hAnsi="Arial" w:cs="Arial"/>
          <w:sz w:val="22"/>
          <w:szCs w:val="22"/>
        </w:rPr>
        <w:t>% di tu</w:t>
      </w:r>
      <w:r w:rsidRPr="002C1394">
        <w:rPr>
          <w:rFonts w:ascii="Arial" w:hAnsi="Arial" w:cs="Arial"/>
          <w:sz w:val="22"/>
          <w:szCs w:val="22"/>
        </w:rPr>
        <w:t>tti i divorzi</w:t>
      </w:r>
      <w:r w:rsidR="00E334AB" w:rsidRPr="002C1394">
        <w:rPr>
          <w:rFonts w:ascii="Arial" w:hAnsi="Arial" w:cs="Arial"/>
          <w:sz w:val="22"/>
          <w:szCs w:val="22"/>
        </w:rPr>
        <w:t>.</w:t>
      </w:r>
    </w:p>
    <w:p w14:paraId="2F37A9DB" w14:textId="1BD3BD19" w:rsidR="002C1394" w:rsidRPr="002C1394" w:rsidRDefault="00D832C5" w:rsidP="002C1394">
      <w:pPr>
        <w:spacing w:after="120"/>
        <w:jc w:val="both"/>
        <w:outlineLvl w:val="0"/>
        <w:rPr>
          <w:rFonts w:ascii="Arial" w:hAnsi="Arial" w:cs="Arial"/>
          <w:sz w:val="22"/>
          <w:szCs w:val="22"/>
        </w:rPr>
      </w:pPr>
      <w:r>
        <w:rPr>
          <w:rFonts w:ascii="Arial" w:hAnsi="Arial" w:cs="Arial"/>
          <w:sz w:val="22"/>
          <w:szCs w:val="22"/>
        </w:rPr>
        <w:t>Nel 2022 l</w:t>
      </w:r>
      <w:r w:rsidR="002C1394" w:rsidRPr="00D832C5">
        <w:rPr>
          <w:rFonts w:ascii="Arial" w:hAnsi="Arial" w:cs="Arial"/>
          <w:sz w:val="22"/>
          <w:szCs w:val="22"/>
        </w:rPr>
        <w:t>e quote delle negoziazioni assistit</w:t>
      </w:r>
      <w:r>
        <w:rPr>
          <w:rFonts w:ascii="Arial" w:hAnsi="Arial" w:cs="Arial"/>
          <w:sz w:val="22"/>
          <w:szCs w:val="22"/>
        </w:rPr>
        <w:t xml:space="preserve">e da avvocati (ex art. 6) sono </w:t>
      </w:r>
      <w:r w:rsidR="002C1394" w:rsidRPr="00D832C5">
        <w:rPr>
          <w:rFonts w:ascii="Arial" w:hAnsi="Arial" w:cs="Arial"/>
          <w:sz w:val="22"/>
          <w:szCs w:val="22"/>
        </w:rPr>
        <w:t xml:space="preserve">il </w:t>
      </w:r>
      <w:r w:rsidRPr="00D832C5">
        <w:rPr>
          <w:rFonts w:ascii="Arial" w:hAnsi="Arial" w:cs="Arial"/>
          <w:sz w:val="22"/>
          <w:szCs w:val="22"/>
        </w:rPr>
        <w:t>9,5</w:t>
      </w:r>
      <w:r w:rsidR="002C1394" w:rsidRPr="00D832C5">
        <w:rPr>
          <w:rFonts w:ascii="Arial" w:hAnsi="Arial" w:cs="Arial"/>
          <w:sz w:val="22"/>
          <w:szCs w:val="22"/>
        </w:rPr>
        <w:t xml:space="preserve">% </w:t>
      </w:r>
      <w:r w:rsidRPr="00D832C5">
        <w:rPr>
          <w:rFonts w:ascii="Arial" w:hAnsi="Arial" w:cs="Arial"/>
          <w:sz w:val="22"/>
          <w:szCs w:val="22"/>
        </w:rPr>
        <w:t>delle separazioni e l’8,1</w:t>
      </w:r>
      <w:r w:rsidR="002C1394" w:rsidRPr="00D832C5">
        <w:rPr>
          <w:rFonts w:ascii="Arial" w:hAnsi="Arial" w:cs="Arial"/>
          <w:sz w:val="22"/>
          <w:szCs w:val="22"/>
        </w:rPr>
        <w:t>%</w:t>
      </w:r>
      <w:r>
        <w:rPr>
          <w:rFonts w:ascii="Arial" w:hAnsi="Arial" w:cs="Arial"/>
          <w:sz w:val="22"/>
          <w:szCs w:val="22"/>
        </w:rPr>
        <w:t xml:space="preserve"> </w:t>
      </w:r>
      <w:r w:rsidRPr="00D832C5">
        <w:rPr>
          <w:rFonts w:ascii="Arial" w:hAnsi="Arial" w:cs="Arial"/>
          <w:sz w:val="22"/>
          <w:szCs w:val="22"/>
        </w:rPr>
        <w:t>dei divorzi</w:t>
      </w:r>
      <w:r w:rsidR="002C1394" w:rsidRPr="00D832C5">
        <w:rPr>
          <w:rFonts w:ascii="Arial" w:hAnsi="Arial" w:cs="Arial"/>
          <w:sz w:val="22"/>
          <w:szCs w:val="22"/>
        </w:rPr>
        <w:t>.</w:t>
      </w:r>
      <w:r>
        <w:rPr>
          <w:rFonts w:ascii="Arial" w:hAnsi="Arial" w:cs="Arial"/>
          <w:sz w:val="22"/>
          <w:szCs w:val="22"/>
        </w:rPr>
        <w:t xml:space="preserve"> Rispetto all’anno precedente si nota, in entrambi i casi, una diminuzione (rispettivamente -11,8% e -7,3%) che ha fatto seguito a una più </w:t>
      </w:r>
      <w:r w:rsidR="000B422C">
        <w:rPr>
          <w:rFonts w:ascii="Arial" w:hAnsi="Arial" w:cs="Arial"/>
          <w:sz w:val="22"/>
          <w:szCs w:val="22"/>
        </w:rPr>
        <w:t>larga</w:t>
      </w:r>
      <w:r>
        <w:rPr>
          <w:rFonts w:ascii="Arial" w:hAnsi="Arial" w:cs="Arial"/>
          <w:sz w:val="22"/>
          <w:szCs w:val="22"/>
        </w:rPr>
        <w:t xml:space="preserve"> adozione di questa procedura nel corso del periodo </w:t>
      </w:r>
      <w:r w:rsidR="00EF0A55">
        <w:rPr>
          <w:rFonts w:ascii="Arial" w:hAnsi="Arial" w:cs="Arial"/>
          <w:sz w:val="22"/>
          <w:szCs w:val="22"/>
        </w:rPr>
        <w:t>pandemico.</w:t>
      </w:r>
    </w:p>
    <w:p w14:paraId="5FA08410" w14:textId="20A3B664" w:rsidR="00E334AB" w:rsidRPr="00F75E7E" w:rsidRDefault="00E334AB" w:rsidP="00E334AB">
      <w:pPr>
        <w:spacing w:after="120"/>
        <w:jc w:val="both"/>
        <w:outlineLvl w:val="0"/>
        <w:rPr>
          <w:rFonts w:ascii="Arial" w:hAnsi="Arial" w:cs="Arial"/>
          <w:sz w:val="22"/>
          <w:szCs w:val="22"/>
        </w:rPr>
      </w:pPr>
      <w:r w:rsidRPr="00F75E7E">
        <w:rPr>
          <w:rFonts w:ascii="Arial" w:hAnsi="Arial" w:cs="Arial"/>
          <w:sz w:val="22"/>
          <w:szCs w:val="22"/>
        </w:rPr>
        <w:t xml:space="preserve">La propensione a ricorrere agli accordi extragiudiziali di divorzio è diffusa soprattutto nel </w:t>
      </w:r>
      <w:r w:rsidR="008E7151" w:rsidRPr="00F75E7E">
        <w:rPr>
          <w:rFonts w:ascii="Arial" w:hAnsi="Arial" w:cs="Arial"/>
          <w:sz w:val="22"/>
          <w:szCs w:val="22"/>
        </w:rPr>
        <w:t>Centro-</w:t>
      </w:r>
      <w:r w:rsidR="004F5D13">
        <w:rPr>
          <w:rFonts w:ascii="Arial" w:hAnsi="Arial" w:cs="Arial"/>
          <w:sz w:val="22"/>
          <w:szCs w:val="22"/>
        </w:rPr>
        <w:t>n</w:t>
      </w:r>
      <w:r w:rsidR="008E7151" w:rsidRPr="00F75E7E">
        <w:rPr>
          <w:rFonts w:ascii="Arial" w:hAnsi="Arial" w:cs="Arial"/>
          <w:sz w:val="22"/>
          <w:szCs w:val="22"/>
        </w:rPr>
        <w:t>ord</w:t>
      </w:r>
      <w:r w:rsidR="00D30A1D">
        <w:rPr>
          <w:rFonts w:ascii="Arial" w:hAnsi="Arial" w:cs="Arial"/>
          <w:sz w:val="22"/>
          <w:szCs w:val="22"/>
        </w:rPr>
        <w:t>,</w:t>
      </w:r>
      <w:r w:rsidR="008E7151" w:rsidRPr="00F75E7E">
        <w:rPr>
          <w:rFonts w:ascii="Arial" w:hAnsi="Arial" w:cs="Arial"/>
          <w:sz w:val="22"/>
          <w:szCs w:val="22"/>
        </w:rPr>
        <w:t xml:space="preserve"> ma con alcune differenze per tipologia</w:t>
      </w:r>
      <w:r w:rsidR="00D30A1D">
        <w:rPr>
          <w:rFonts w:ascii="Arial" w:hAnsi="Arial" w:cs="Arial"/>
          <w:sz w:val="22"/>
          <w:szCs w:val="22"/>
        </w:rPr>
        <w:t>:</w:t>
      </w:r>
      <w:r w:rsidRPr="00F75E7E">
        <w:rPr>
          <w:rFonts w:ascii="Arial" w:hAnsi="Arial" w:cs="Arial"/>
          <w:sz w:val="22"/>
          <w:szCs w:val="22"/>
        </w:rPr>
        <w:t xml:space="preserve"> la procedura ex art.12 (direttamente presso lo Stato Civile) </w:t>
      </w:r>
      <w:r w:rsidR="008E7151" w:rsidRPr="00F75E7E">
        <w:rPr>
          <w:rFonts w:ascii="Arial" w:hAnsi="Arial" w:cs="Arial"/>
          <w:sz w:val="22"/>
          <w:szCs w:val="22"/>
        </w:rPr>
        <w:t xml:space="preserve">è più presente </w:t>
      </w:r>
      <w:r w:rsidR="00F75E7E" w:rsidRPr="00F75E7E">
        <w:rPr>
          <w:rFonts w:ascii="Arial" w:hAnsi="Arial" w:cs="Arial"/>
          <w:sz w:val="22"/>
          <w:szCs w:val="22"/>
        </w:rPr>
        <w:t>nel Nord-est (28,9%)</w:t>
      </w:r>
      <w:r w:rsidR="00D30A1D">
        <w:rPr>
          <w:rFonts w:ascii="Arial" w:hAnsi="Arial" w:cs="Arial"/>
          <w:sz w:val="22"/>
          <w:szCs w:val="22"/>
        </w:rPr>
        <w:t>,</w:t>
      </w:r>
      <w:r w:rsidR="00F75E7E" w:rsidRPr="00F75E7E">
        <w:rPr>
          <w:rFonts w:ascii="Arial" w:hAnsi="Arial" w:cs="Arial"/>
          <w:sz w:val="22"/>
          <w:szCs w:val="22"/>
        </w:rPr>
        <w:t xml:space="preserve"> seguita dal Nord-ovest (27,1%)</w:t>
      </w:r>
      <w:r w:rsidR="00D30A1D">
        <w:rPr>
          <w:rFonts w:ascii="Arial" w:hAnsi="Arial" w:cs="Arial"/>
          <w:sz w:val="22"/>
          <w:szCs w:val="22"/>
        </w:rPr>
        <w:t>,</w:t>
      </w:r>
      <w:r w:rsidR="00F75E7E" w:rsidRPr="00F75E7E">
        <w:rPr>
          <w:rFonts w:ascii="Arial" w:hAnsi="Arial" w:cs="Arial"/>
          <w:sz w:val="22"/>
          <w:szCs w:val="22"/>
        </w:rPr>
        <w:t xml:space="preserve"> mentre</w:t>
      </w:r>
      <w:r w:rsidRPr="00F75E7E">
        <w:rPr>
          <w:rFonts w:ascii="Arial" w:hAnsi="Arial" w:cs="Arial"/>
          <w:sz w:val="22"/>
          <w:szCs w:val="22"/>
        </w:rPr>
        <w:t xml:space="preserve"> quella ex art.6 (negoziazioni assistite da avvocati) </w:t>
      </w:r>
      <w:r w:rsidR="00F75E7E" w:rsidRPr="00F75E7E">
        <w:rPr>
          <w:rFonts w:ascii="Arial" w:hAnsi="Arial" w:cs="Arial"/>
          <w:sz w:val="22"/>
          <w:szCs w:val="22"/>
        </w:rPr>
        <w:t xml:space="preserve">nel Centro (11,7%) </w:t>
      </w:r>
      <w:r w:rsidRPr="00F75E7E">
        <w:rPr>
          <w:rFonts w:ascii="Arial" w:hAnsi="Arial" w:cs="Arial"/>
          <w:sz w:val="22"/>
          <w:szCs w:val="22"/>
        </w:rPr>
        <w:t xml:space="preserve">(Figura 8). Le regioni in cui il ricorso alle procedure ex art. 12 è più diffuso, con il vincolo di tutte le condizioni già ricordate, sono </w:t>
      </w:r>
      <w:r w:rsidR="00F75E7E" w:rsidRPr="00F75E7E">
        <w:rPr>
          <w:rFonts w:ascii="Arial" w:hAnsi="Arial" w:cs="Arial"/>
          <w:sz w:val="22"/>
          <w:szCs w:val="22"/>
        </w:rPr>
        <w:t>la provincia autonoma di Bolzano/</w:t>
      </w:r>
      <w:r w:rsidR="00F75E7E" w:rsidRPr="00F75E7E">
        <w:rPr>
          <w:rFonts w:ascii="Arial" w:hAnsi="Arial" w:cs="Arial"/>
          <w:i/>
          <w:iCs/>
          <w:sz w:val="22"/>
          <w:szCs w:val="22"/>
        </w:rPr>
        <w:t>Bozen</w:t>
      </w:r>
      <w:r w:rsidR="00F75E7E" w:rsidRPr="00F75E7E">
        <w:rPr>
          <w:rFonts w:ascii="Arial" w:hAnsi="Arial" w:cs="Arial"/>
          <w:sz w:val="22"/>
          <w:szCs w:val="22"/>
        </w:rPr>
        <w:t xml:space="preserve"> (34,9%), quella di Trento (30,5%) e </w:t>
      </w:r>
      <w:r w:rsidRPr="00F75E7E">
        <w:rPr>
          <w:rFonts w:ascii="Arial" w:hAnsi="Arial" w:cs="Arial"/>
          <w:sz w:val="22"/>
          <w:szCs w:val="22"/>
        </w:rPr>
        <w:t>la Valle d’Aosta/</w:t>
      </w:r>
      <w:r w:rsidRPr="00F75E7E">
        <w:rPr>
          <w:rFonts w:ascii="Arial" w:hAnsi="Arial" w:cs="Arial"/>
          <w:i/>
          <w:iCs/>
          <w:sz w:val="22"/>
          <w:szCs w:val="22"/>
        </w:rPr>
        <w:t>Vallée d'Aoste</w:t>
      </w:r>
      <w:r w:rsidRPr="00F75E7E">
        <w:rPr>
          <w:rFonts w:ascii="Arial" w:hAnsi="Arial" w:cs="Arial"/>
          <w:sz w:val="22"/>
          <w:szCs w:val="22"/>
        </w:rPr>
        <w:t xml:space="preserve"> (3</w:t>
      </w:r>
      <w:r w:rsidR="00F75E7E" w:rsidRPr="00F75E7E">
        <w:rPr>
          <w:rFonts w:ascii="Arial" w:hAnsi="Arial" w:cs="Arial"/>
          <w:sz w:val="22"/>
          <w:szCs w:val="22"/>
        </w:rPr>
        <w:t>0</w:t>
      </w:r>
      <w:r w:rsidRPr="00F75E7E">
        <w:rPr>
          <w:rFonts w:ascii="Arial" w:hAnsi="Arial" w:cs="Arial"/>
          <w:sz w:val="22"/>
          <w:szCs w:val="22"/>
        </w:rPr>
        <w:t>,3%). La quota di accordi ex art. 6 raggiunge il suo valore massimo nel Lazio (1</w:t>
      </w:r>
      <w:r w:rsidR="00F75E7E" w:rsidRPr="00F75E7E">
        <w:rPr>
          <w:rFonts w:ascii="Arial" w:hAnsi="Arial" w:cs="Arial"/>
          <w:sz w:val="22"/>
          <w:szCs w:val="22"/>
        </w:rPr>
        <w:t>5</w:t>
      </w:r>
      <w:r w:rsidRPr="00F75E7E">
        <w:rPr>
          <w:rFonts w:ascii="Arial" w:hAnsi="Arial" w:cs="Arial"/>
          <w:sz w:val="22"/>
          <w:szCs w:val="22"/>
        </w:rPr>
        <w:t>,</w:t>
      </w:r>
      <w:r w:rsidR="00F75E7E" w:rsidRPr="00F75E7E">
        <w:rPr>
          <w:rFonts w:ascii="Arial" w:hAnsi="Arial" w:cs="Arial"/>
          <w:sz w:val="22"/>
          <w:szCs w:val="22"/>
        </w:rPr>
        <w:t>6</w:t>
      </w:r>
      <w:r w:rsidRPr="00F75E7E">
        <w:rPr>
          <w:rFonts w:ascii="Arial" w:hAnsi="Arial" w:cs="Arial"/>
          <w:sz w:val="22"/>
          <w:szCs w:val="22"/>
        </w:rPr>
        <w:t xml:space="preserve">%), </w:t>
      </w:r>
      <w:r w:rsidR="00F75E7E" w:rsidRPr="00F75E7E">
        <w:rPr>
          <w:rFonts w:ascii="Arial" w:hAnsi="Arial" w:cs="Arial"/>
          <w:sz w:val="22"/>
          <w:szCs w:val="22"/>
        </w:rPr>
        <w:t>in Campania (12,1%) e in Sicilia (10,1%).</w:t>
      </w:r>
      <w:r w:rsidRPr="00F75E7E">
        <w:rPr>
          <w:rFonts w:ascii="Arial" w:hAnsi="Arial" w:cs="Arial"/>
          <w:sz w:val="22"/>
          <w:szCs w:val="22"/>
        </w:rPr>
        <w:t xml:space="preserve"> </w:t>
      </w:r>
    </w:p>
    <w:p w14:paraId="2BF73706" w14:textId="0CCE8BBB" w:rsidR="00E334AB" w:rsidRPr="00675075" w:rsidRDefault="00F75E7E" w:rsidP="00E334AB">
      <w:pPr>
        <w:spacing w:after="120"/>
        <w:jc w:val="both"/>
        <w:outlineLvl w:val="0"/>
        <w:rPr>
          <w:rFonts w:ascii="Arial" w:hAnsi="Arial" w:cs="Arial"/>
          <w:sz w:val="22"/>
          <w:szCs w:val="22"/>
        </w:rPr>
      </w:pPr>
      <w:r w:rsidRPr="00675075">
        <w:rPr>
          <w:rFonts w:ascii="Arial" w:hAnsi="Arial" w:cs="Arial"/>
          <w:sz w:val="22"/>
          <w:szCs w:val="22"/>
        </w:rPr>
        <w:t>I</w:t>
      </w:r>
      <w:r w:rsidR="00E334AB" w:rsidRPr="00675075">
        <w:rPr>
          <w:rFonts w:ascii="Arial" w:hAnsi="Arial" w:cs="Arial"/>
          <w:sz w:val="22"/>
          <w:szCs w:val="22"/>
        </w:rPr>
        <w:t xml:space="preserve"> divorzi consensuali conclusi in Tribunale</w:t>
      </w:r>
      <w:r w:rsidRPr="00675075">
        <w:rPr>
          <w:rFonts w:ascii="Arial" w:hAnsi="Arial" w:cs="Arial"/>
          <w:sz w:val="22"/>
          <w:szCs w:val="22"/>
        </w:rPr>
        <w:t xml:space="preserve"> sono quelli che presentano una minore variabilità territoriale mentre i</w:t>
      </w:r>
      <w:r w:rsidR="00E334AB" w:rsidRPr="00675075">
        <w:rPr>
          <w:rFonts w:ascii="Arial" w:hAnsi="Arial" w:cs="Arial"/>
          <w:sz w:val="22"/>
          <w:szCs w:val="22"/>
        </w:rPr>
        <w:t xml:space="preserve">l ricorso ai divorzi giudiziali è </w:t>
      </w:r>
      <w:r w:rsidR="00675075" w:rsidRPr="00675075">
        <w:rPr>
          <w:rFonts w:ascii="Arial" w:hAnsi="Arial" w:cs="Arial"/>
          <w:sz w:val="22"/>
          <w:szCs w:val="22"/>
        </w:rPr>
        <w:t xml:space="preserve">più diffuso nel Mezzogiorno (38,5%) con picchi </w:t>
      </w:r>
      <w:r w:rsidR="00E334AB" w:rsidRPr="00675075">
        <w:rPr>
          <w:rFonts w:ascii="Arial" w:hAnsi="Arial" w:cs="Arial"/>
          <w:sz w:val="22"/>
          <w:szCs w:val="22"/>
        </w:rPr>
        <w:t>nei Tribunali di Sardegna (4</w:t>
      </w:r>
      <w:r w:rsidR="00675075" w:rsidRPr="00675075">
        <w:rPr>
          <w:rFonts w:ascii="Arial" w:hAnsi="Arial" w:cs="Arial"/>
          <w:sz w:val="22"/>
          <w:szCs w:val="22"/>
        </w:rPr>
        <w:t>1</w:t>
      </w:r>
      <w:r w:rsidR="00E334AB" w:rsidRPr="00675075">
        <w:rPr>
          <w:rFonts w:ascii="Arial" w:hAnsi="Arial" w:cs="Arial"/>
          <w:sz w:val="22"/>
          <w:szCs w:val="22"/>
        </w:rPr>
        <w:t>,</w:t>
      </w:r>
      <w:r w:rsidR="00675075" w:rsidRPr="00675075">
        <w:rPr>
          <w:rFonts w:ascii="Arial" w:hAnsi="Arial" w:cs="Arial"/>
          <w:sz w:val="22"/>
          <w:szCs w:val="22"/>
        </w:rPr>
        <w:t>3</w:t>
      </w:r>
      <w:r w:rsidR="00E334AB" w:rsidRPr="00675075">
        <w:rPr>
          <w:rFonts w:ascii="Arial" w:hAnsi="Arial" w:cs="Arial"/>
          <w:sz w:val="22"/>
          <w:szCs w:val="22"/>
        </w:rPr>
        <w:t xml:space="preserve">%), </w:t>
      </w:r>
      <w:r w:rsidR="00675075" w:rsidRPr="00675075">
        <w:rPr>
          <w:rFonts w:ascii="Arial" w:hAnsi="Arial" w:cs="Arial"/>
          <w:sz w:val="22"/>
          <w:szCs w:val="22"/>
        </w:rPr>
        <w:t xml:space="preserve">Puglia (41,1%) </w:t>
      </w:r>
      <w:r w:rsidR="00E334AB" w:rsidRPr="00675075">
        <w:rPr>
          <w:rFonts w:ascii="Arial" w:hAnsi="Arial" w:cs="Arial"/>
          <w:sz w:val="22"/>
          <w:szCs w:val="22"/>
        </w:rPr>
        <w:t>e Ca</w:t>
      </w:r>
      <w:r w:rsidR="00675075" w:rsidRPr="00675075">
        <w:rPr>
          <w:rFonts w:ascii="Arial" w:hAnsi="Arial" w:cs="Arial"/>
          <w:sz w:val="22"/>
          <w:szCs w:val="22"/>
        </w:rPr>
        <w:t>mpania</w:t>
      </w:r>
      <w:r w:rsidR="00E334AB" w:rsidRPr="00675075">
        <w:rPr>
          <w:rFonts w:ascii="Arial" w:hAnsi="Arial" w:cs="Arial"/>
          <w:sz w:val="22"/>
          <w:szCs w:val="22"/>
        </w:rPr>
        <w:t xml:space="preserve"> (39,</w:t>
      </w:r>
      <w:r w:rsidR="00675075" w:rsidRPr="00675075">
        <w:rPr>
          <w:rFonts w:ascii="Arial" w:hAnsi="Arial" w:cs="Arial"/>
          <w:sz w:val="22"/>
          <w:szCs w:val="22"/>
        </w:rPr>
        <w:t>3</w:t>
      </w:r>
      <w:r w:rsidR="00E334AB" w:rsidRPr="00675075">
        <w:rPr>
          <w:rFonts w:ascii="Arial" w:hAnsi="Arial" w:cs="Arial"/>
          <w:sz w:val="22"/>
          <w:szCs w:val="22"/>
        </w:rPr>
        <w:t xml:space="preserve">%). </w:t>
      </w:r>
    </w:p>
    <w:p w14:paraId="4606B985" w14:textId="2014603D" w:rsidR="00E334AB" w:rsidRDefault="00E334AB" w:rsidP="00E334AB">
      <w:pPr>
        <w:spacing w:after="120"/>
        <w:jc w:val="both"/>
        <w:outlineLvl w:val="0"/>
        <w:rPr>
          <w:rFonts w:ascii="Arial" w:hAnsi="Arial" w:cs="Arial"/>
          <w:sz w:val="22"/>
          <w:szCs w:val="22"/>
        </w:rPr>
      </w:pPr>
      <w:r w:rsidRPr="00A426CB">
        <w:rPr>
          <w:rFonts w:ascii="Arial" w:hAnsi="Arial" w:cs="Arial"/>
          <w:sz w:val="22"/>
          <w:szCs w:val="22"/>
        </w:rPr>
        <w:t>Co</w:t>
      </w:r>
      <w:r w:rsidR="00A426CB" w:rsidRPr="00A426CB">
        <w:rPr>
          <w:rFonts w:ascii="Arial" w:hAnsi="Arial" w:cs="Arial"/>
          <w:sz w:val="22"/>
          <w:szCs w:val="22"/>
        </w:rPr>
        <w:t>nsiderando i divorzi per 1.000 abitanti</w:t>
      </w:r>
      <w:r w:rsidRPr="00A426CB">
        <w:rPr>
          <w:rFonts w:ascii="Arial" w:hAnsi="Arial" w:cs="Arial"/>
          <w:sz w:val="22"/>
          <w:szCs w:val="22"/>
        </w:rPr>
        <w:t xml:space="preserve">, a livello nazionale l’indicatore è pari a </w:t>
      </w:r>
      <w:r w:rsidR="00A426CB" w:rsidRPr="00A426CB">
        <w:rPr>
          <w:rFonts w:ascii="Arial" w:hAnsi="Arial" w:cs="Arial"/>
          <w:sz w:val="22"/>
          <w:szCs w:val="22"/>
        </w:rPr>
        <w:t>1,4, stabile</w:t>
      </w:r>
      <w:r w:rsidRPr="00A426CB">
        <w:rPr>
          <w:rFonts w:ascii="Arial" w:hAnsi="Arial" w:cs="Arial"/>
          <w:sz w:val="22"/>
          <w:szCs w:val="22"/>
        </w:rPr>
        <w:t xml:space="preserve"> rispetto all’anno precedente</w:t>
      </w:r>
      <w:r w:rsidR="00BD0807">
        <w:rPr>
          <w:rFonts w:ascii="Arial" w:hAnsi="Arial" w:cs="Arial"/>
          <w:sz w:val="22"/>
          <w:szCs w:val="22"/>
        </w:rPr>
        <w:t xml:space="preserve">. </w:t>
      </w:r>
      <w:r w:rsidR="003D36BE">
        <w:rPr>
          <w:rFonts w:ascii="Arial" w:hAnsi="Arial" w:cs="Arial"/>
          <w:sz w:val="22"/>
          <w:szCs w:val="22"/>
        </w:rPr>
        <w:t>La</w:t>
      </w:r>
      <w:r w:rsidR="00A426CB" w:rsidRPr="00A426CB">
        <w:rPr>
          <w:rFonts w:ascii="Arial" w:hAnsi="Arial" w:cs="Arial"/>
          <w:sz w:val="22"/>
          <w:szCs w:val="22"/>
        </w:rPr>
        <w:t xml:space="preserve"> variabilità territoriale </w:t>
      </w:r>
      <w:r w:rsidR="003D36BE">
        <w:rPr>
          <w:rFonts w:ascii="Arial" w:hAnsi="Arial" w:cs="Arial"/>
          <w:sz w:val="22"/>
          <w:szCs w:val="22"/>
        </w:rPr>
        <w:t>va riducendosi e</w:t>
      </w:r>
      <w:r w:rsidR="00A426CB" w:rsidRPr="00A426CB">
        <w:rPr>
          <w:rFonts w:ascii="Arial" w:hAnsi="Arial" w:cs="Arial"/>
          <w:sz w:val="22"/>
          <w:szCs w:val="22"/>
        </w:rPr>
        <w:t xml:space="preserve"> si assiste a una progressiva convergenza tra </w:t>
      </w:r>
      <w:r w:rsidR="000B422C">
        <w:rPr>
          <w:rFonts w:ascii="Arial" w:hAnsi="Arial" w:cs="Arial"/>
          <w:sz w:val="22"/>
          <w:szCs w:val="22"/>
        </w:rPr>
        <w:t>i livelli registrati nel Nord e nel</w:t>
      </w:r>
      <w:r w:rsidR="00A426CB" w:rsidRPr="00A426CB">
        <w:rPr>
          <w:rFonts w:ascii="Arial" w:hAnsi="Arial" w:cs="Arial"/>
          <w:sz w:val="22"/>
          <w:szCs w:val="22"/>
        </w:rPr>
        <w:t xml:space="preserve"> </w:t>
      </w:r>
      <w:r w:rsidR="00BD0807">
        <w:rPr>
          <w:rFonts w:ascii="Arial" w:hAnsi="Arial" w:cs="Arial"/>
          <w:sz w:val="22"/>
          <w:szCs w:val="22"/>
        </w:rPr>
        <w:t>Mezzogiorno</w:t>
      </w:r>
      <w:r w:rsidRPr="00A426CB">
        <w:rPr>
          <w:rFonts w:ascii="Arial" w:hAnsi="Arial" w:cs="Arial"/>
          <w:sz w:val="22"/>
          <w:szCs w:val="22"/>
        </w:rPr>
        <w:t xml:space="preserve">. A livello regionale, in cima alla graduatoria ci sono </w:t>
      </w:r>
      <w:r w:rsidR="00A426CB" w:rsidRPr="00A426CB">
        <w:rPr>
          <w:rFonts w:ascii="Arial" w:hAnsi="Arial" w:cs="Arial"/>
          <w:sz w:val="22"/>
          <w:szCs w:val="22"/>
        </w:rPr>
        <w:t xml:space="preserve">Liguria e Sicilia (entrambe con </w:t>
      </w:r>
      <w:r w:rsidR="00BD0807">
        <w:rPr>
          <w:rFonts w:ascii="Arial" w:hAnsi="Arial" w:cs="Arial"/>
          <w:sz w:val="22"/>
          <w:szCs w:val="22"/>
        </w:rPr>
        <w:t>un valore dell’</w:t>
      </w:r>
      <w:r w:rsidR="00A426CB" w:rsidRPr="00A426CB">
        <w:rPr>
          <w:rFonts w:ascii="Arial" w:hAnsi="Arial" w:cs="Arial"/>
          <w:sz w:val="22"/>
          <w:szCs w:val="22"/>
        </w:rPr>
        <w:t>1,6</w:t>
      </w:r>
      <w:r w:rsidR="00BD0807">
        <w:rPr>
          <w:rFonts w:ascii="Arial" w:hAnsi="Arial" w:cs="Arial"/>
          <w:sz w:val="22"/>
          <w:szCs w:val="22"/>
        </w:rPr>
        <w:t xml:space="preserve"> per mille</w:t>
      </w:r>
      <w:r w:rsidRPr="00A426CB">
        <w:rPr>
          <w:rFonts w:ascii="Arial" w:hAnsi="Arial" w:cs="Arial"/>
          <w:sz w:val="22"/>
          <w:szCs w:val="22"/>
        </w:rPr>
        <w:t>)</w:t>
      </w:r>
      <w:r w:rsidR="00A426CB" w:rsidRPr="00A426CB">
        <w:rPr>
          <w:rFonts w:ascii="Arial" w:hAnsi="Arial" w:cs="Arial"/>
          <w:sz w:val="22"/>
          <w:szCs w:val="22"/>
        </w:rPr>
        <w:t xml:space="preserve"> mentre il valore più basso è </w:t>
      </w:r>
      <w:r w:rsidR="000B422C">
        <w:rPr>
          <w:rFonts w:ascii="Arial" w:hAnsi="Arial" w:cs="Arial"/>
          <w:sz w:val="22"/>
          <w:szCs w:val="22"/>
        </w:rPr>
        <w:t>quello</w:t>
      </w:r>
      <w:r w:rsidR="00A426CB" w:rsidRPr="00A426CB">
        <w:rPr>
          <w:rFonts w:ascii="Arial" w:hAnsi="Arial" w:cs="Arial"/>
          <w:sz w:val="22"/>
          <w:szCs w:val="22"/>
        </w:rPr>
        <w:t xml:space="preserve"> </w:t>
      </w:r>
      <w:r w:rsidR="000B422C">
        <w:rPr>
          <w:rFonts w:ascii="Arial" w:hAnsi="Arial" w:cs="Arial"/>
          <w:sz w:val="22"/>
          <w:szCs w:val="22"/>
        </w:rPr>
        <w:t>d</w:t>
      </w:r>
      <w:r w:rsidR="00A426CB" w:rsidRPr="00A426CB">
        <w:rPr>
          <w:rFonts w:ascii="Arial" w:hAnsi="Arial" w:cs="Arial"/>
          <w:sz w:val="22"/>
          <w:szCs w:val="22"/>
        </w:rPr>
        <w:t>ella Provincia Autonoma di Bolzano</w:t>
      </w:r>
      <w:r w:rsidR="00A426CB" w:rsidRPr="003A36C5">
        <w:rPr>
          <w:rFonts w:ascii="Arial" w:hAnsi="Arial" w:cs="Arial"/>
          <w:sz w:val="22"/>
          <w:szCs w:val="22"/>
        </w:rPr>
        <w:t>/</w:t>
      </w:r>
      <w:r w:rsidR="00A426CB" w:rsidRPr="003A36C5">
        <w:rPr>
          <w:rFonts w:ascii="Arial" w:hAnsi="Arial" w:cs="Arial"/>
          <w:i/>
          <w:iCs/>
          <w:sz w:val="22"/>
          <w:szCs w:val="22"/>
        </w:rPr>
        <w:t>Bozen</w:t>
      </w:r>
      <w:r w:rsidR="00A426CB" w:rsidRPr="00A426CB">
        <w:rPr>
          <w:rFonts w:ascii="Arial" w:hAnsi="Arial" w:cs="Arial"/>
          <w:sz w:val="22"/>
          <w:szCs w:val="22"/>
        </w:rPr>
        <w:t xml:space="preserve"> (1,0</w:t>
      </w:r>
      <w:r w:rsidR="00BD0807">
        <w:rPr>
          <w:rFonts w:ascii="Arial" w:hAnsi="Arial" w:cs="Arial"/>
          <w:sz w:val="22"/>
          <w:szCs w:val="22"/>
        </w:rPr>
        <w:t xml:space="preserve"> per mille</w:t>
      </w:r>
      <w:r w:rsidR="00A426CB" w:rsidRPr="00A426CB">
        <w:rPr>
          <w:rFonts w:ascii="Arial" w:hAnsi="Arial" w:cs="Arial"/>
          <w:sz w:val="22"/>
          <w:szCs w:val="22"/>
        </w:rPr>
        <w:t>).</w:t>
      </w:r>
    </w:p>
    <w:p w14:paraId="51A6541E" w14:textId="77777777" w:rsidR="003D36BE" w:rsidRDefault="003D36BE" w:rsidP="00E334AB">
      <w:pPr>
        <w:spacing w:after="120"/>
        <w:jc w:val="both"/>
        <w:outlineLvl w:val="0"/>
        <w:rPr>
          <w:rFonts w:ascii="Arial" w:hAnsi="Arial" w:cs="Arial"/>
          <w:sz w:val="22"/>
          <w:szCs w:val="22"/>
        </w:rPr>
      </w:pPr>
    </w:p>
    <w:p w14:paraId="4FB059CD" w14:textId="77777777" w:rsidR="003D36BE" w:rsidRDefault="003D36BE" w:rsidP="00E334AB">
      <w:pPr>
        <w:spacing w:after="120"/>
        <w:jc w:val="both"/>
        <w:outlineLvl w:val="0"/>
        <w:rPr>
          <w:rFonts w:ascii="Arial" w:hAnsi="Arial" w:cs="Arial"/>
          <w:sz w:val="22"/>
          <w:szCs w:val="22"/>
        </w:rPr>
      </w:pPr>
    </w:p>
    <w:p w14:paraId="4F04D466" w14:textId="77777777" w:rsidR="003D36BE" w:rsidRDefault="003D36BE" w:rsidP="003A36C5">
      <w:pPr>
        <w:jc w:val="both"/>
        <w:outlineLvl w:val="0"/>
        <w:rPr>
          <w:rFonts w:ascii="Arial" w:hAnsi="Arial" w:cs="Arial"/>
          <w:sz w:val="22"/>
          <w:szCs w:val="22"/>
        </w:rPr>
      </w:pPr>
    </w:p>
    <w:p w14:paraId="4D6ACEFC" w14:textId="0F272FFE" w:rsidR="00E334AB" w:rsidRDefault="00E334AB" w:rsidP="00E334AB">
      <w:pPr>
        <w:autoSpaceDE w:val="0"/>
        <w:autoSpaceDN w:val="0"/>
        <w:adjustRightInd w:val="0"/>
        <w:rPr>
          <w:rFonts w:ascii="Arial Narrow" w:hAnsi="Arial Narrow" w:cs="Arial"/>
          <w:b/>
          <w:iCs/>
          <w:noProof/>
          <w:color w:val="1F497D" w:themeColor="text2"/>
          <w:sz w:val="22"/>
          <w:szCs w:val="22"/>
        </w:rPr>
      </w:pPr>
      <w:r w:rsidRPr="00351482">
        <w:rPr>
          <w:rFonts w:ascii="Arial Black" w:hAnsi="Arial Black" w:cs="Arial"/>
          <w:iCs/>
          <w:noProof/>
          <w:color w:val="1F497D" w:themeColor="text2"/>
          <w:sz w:val="22"/>
          <w:szCs w:val="22"/>
        </w:rPr>
        <w:t xml:space="preserve">FIGURA </w:t>
      </w:r>
      <w:r>
        <w:rPr>
          <w:rFonts w:ascii="Arial Black" w:hAnsi="Arial Black" w:cs="Arial"/>
          <w:iCs/>
          <w:noProof/>
          <w:color w:val="1F497D" w:themeColor="text2"/>
          <w:sz w:val="22"/>
          <w:szCs w:val="22"/>
        </w:rPr>
        <w:t>8</w:t>
      </w:r>
      <w:r w:rsidRPr="0076250A">
        <w:rPr>
          <w:rFonts w:ascii="Arial Black" w:hAnsi="Arial Black" w:cs="Arial"/>
          <w:iCs/>
          <w:noProof/>
          <w:color w:val="1F497D" w:themeColor="text2"/>
          <w:sz w:val="22"/>
          <w:szCs w:val="22"/>
        </w:rPr>
        <w:t>.</w:t>
      </w:r>
      <w:r>
        <w:rPr>
          <w:rFonts w:ascii="Arial Narrow" w:hAnsi="Arial Narrow" w:cs="Arial"/>
          <w:b/>
          <w:iCs/>
          <w:noProof/>
          <w:color w:val="1F497D" w:themeColor="text2"/>
          <w:sz w:val="22"/>
          <w:szCs w:val="22"/>
        </w:rPr>
        <w:t xml:space="preserve"> DIVORZI</w:t>
      </w:r>
      <w:r w:rsidRPr="00FA7550">
        <w:t xml:space="preserve"> </w:t>
      </w:r>
      <w:r w:rsidRPr="00FA7550">
        <w:rPr>
          <w:rFonts w:ascii="Arial Narrow" w:hAnsi="Arial Narrow" w:cs="Arial"/>
          <w:b/>
          <w:iCs/>
          <w:noProof/>
          <w:color w:val="1F497D" w:themeColor="text2"/>
          <w:sz w:val="22"/>
          <w:szCs w:val="22"/>
        </w:rPr>
        <w:t>PER RITO DI</w:t>
      </w:r>
      <w:r>
        <w:rPr>
          <w:rFonts w:ascii="Arial Narrow" w:hAnsi="Arial Narrow" w:cs="Arial"/>
          <w:b/>
          <w:iCs/>
          <w:noProof/>
          <w:color w:val="1F497D" w:themeColor="text2"/>
          <w:sz w:val="22"/>
          <w:szCs w:val="22"/>
        </w:rPr>
        <w:t xml:space="preserve"> ESAURIMENTO DEL PROCEDIMENTO, </w:t>
      </w:r>
      <w:r w:rsidRPr="00FA7550">
        <w:rPr>
          <w:rFonts w:ascii="Arial Narrow" w:hAnsi="Arial Narrow" w:cs="Arial"/>
          <w:b/>
          <w:iCs/>
          <w:noProof/>
          <w:color w:val="1F497D" w:themeColor="text2"/>
          <w:sz w:val="22"/>
          <w:szCs w:val="22"/>
        </w:rPr>
        <w:t>TIP</w:t>
      </w:r>
      <w:r>
        <w:rPr>
          <w:rFonts w:ascii="Arial Narrow" w:hAnsi="Arial Narrow" w:cs="Arial"/>
          <w:b/>
          <w:iCs/>
          <w:noProof/>
          <w:color w:val="1F497D" w:themeColor="text2"/>
          <w:sz w:val="22"/>
          <w:szCs w:val="22"/>
        </w:rPr>
        <w:t>O DI ACCORDO E REGIONE.</w:t>
      </w:r>
    </w:p>
    <w:p w14:paraId="159386A5" w14:textId="7E9B5F16" w:rsidR="00E334AB" w:rsidRDefault="00E334AB" w:rsidP="00E334AB">
      <w:pPr>
        <w:autoSpaceDE w:val="0"/>
        <w:autoSpaceDN w:val="0"/>
        <w:adjustRightInd w:val="0"/>
        <w:rPr>
          <w:rFonts w:ascii="Arial Narrow" w:hAnsi="Arial Narrow" w:cs="Arial"/>
          <w:color w:val="1F497D" w:themeColor="text2"/>
          <w:sz w:val="22"/>
          <w:szCs w:val="22"/>
        </w:rPr>
      </w:pPr>
      <w:r w:rsidRPr="0065736C">
        <w:rPr>
          <w:rFonts w:ascii="Arial Narrow" w:hAnsi="Arial Narrow" w:cs="Arial"/>
          <w:color w:val="1F497D" w:themeColor="text2"/>
          <w:sz w:val="22"/>
          <w:szCs w:val="22"/>
        </w:rPr>
        <w:t>A</w:t>
      </w:r>
      <w:r>
        <w:rPr>
          <w:rFonts w:ascii="Arial Narrow" w:hAnsi="Arial Narrow" w:cs="Arial"/>
          <w:color w:val="1F497D" w:themeColor="text2"/>
          <w:sz w:val="22"/>
          <w:szCs w:val="22"/>
        </w:rPr>
        <w:t>nno 202</w:t>
      </w:r>
      <w:r w:rsidR="00780F0E">
        <w:rPr>
          <w:rFonts w:ascii="Arial Narrow" w:hAnsi="Arial Narrow" w:cs="Arial"/>
          <w:color w:val="1F497D" w:themeColor="text2"/>
          <w:sz w:val="22"/>
          <w:szCs w:val="22"/>
        </w:rPr>
        <w:t>2</w:t>
      </w:r>
      <w:r w:rsidRPr="0065736C">
        <w:rPr>
          <w:rFonts w:ascii="Arial Narrow" w:hAnsi="Arial Narrow" w:cs="Arial"/>
          <w:color w:val="1F497D" w:themeColor="text2"/>
          <w:sz w:val="22"/>
          <w:szCs w:val="22"/>
        </w:rPr>
        <w:t xml:space="preserve">, </w:t>
      </w:r>
      <w:r>
        <w:rPr>
          <w:rFonts w:ascii="Arial Narrow" w:hAnsi="Arial Narrow" w:cs="Arial"/>
          <w:color w:val="1F497D" w:themeColor="text2"/>
          <w:sz w:val="22"/>
          <w:szCs w:val="22"/>
        </w:rPr>
        <w:t xml:space="preserve">composizione percentuale e </w:t>
      </w:r>
      <w:r w:rsidR="00780F0E">
        <w:rPr>
          <w:rFonts w:ascii="Arial Narrow" w:hAnsi="Arial Narrow" w:cs="Arial"/>
          <w:color w:val="1F497D" w:themeColor="text2"/>
          <w:sz w:val="22"/>
          <w:szCs w:val="22"/>
        </w:rPr>
        <w:t xml:space="preserve">valori </w:t>
      </w:r>
      <w:r>
        <w:rPr>
          <w:rFonts w:ascii="Arial Narrow" w:hAnsi="Arial Narrow" w:cs="Arial"/>
          <w:color w:val="1F497D" w:themeColor="text2"/>
          <w:sz w:val="22"/>
          <w:szCs w:val="22"/>
        </w:rPr>
        <w:t xml:space="preserve">per </w:t>
      </w:r>
      <w:r w:rsidR="00780F0E">
        <w:rPr>
          <w:rFonts w:ascii="Arial Narrow" w:hAnsi="Arial Narrow" w:cs="Arial"/>
          <w:color w:val="1F497D" w:themeColor="text2"/>
          <w:sz w:val="22"/>
          <w:szCs w:val="22"/>
        </w:rPr>
        <w:t>1.000</w:t>
      </w:r>
      <w:r>
        <w:rPr>
          <w:rFonts w:ascii="Arial Narrow" w:hAnsi="Arial Narrow" w:cs="Arial"/>
          <w:color w:val="1F497D" w:themeColor="text2"/>
          <w:sz w:val="22"/>
          <w:szCs w:val="22"/>
        </w:rPr>
        <w:t xml:space="preserve"> </w:t>
      </w:r>
      <w:r w:rsidR="00780F0E">
        <w:rPr>
          <w:rFonts w:ascii="Arial Narrow" w:hAnsi="Arial Narrow" w:cs="Arial"/>
          <w:color w:val="1F497D" w:themeColor="text2"/>
          <w:sz w:val="22"/>
          <w:szCs w:val="22"/>
        </w:rPr>
        <w:t>abitanti</w:t>
      </w:r>
    </w:p>
    <w:p w14:paraId="57A12D66" w14:textId="77777777" w:rsidR="00E334AB" w:rsidRDefault="00E334AB" w:rsidP="00E334AB">
      <w:pPr>
        <w:autoSpaceDE w:val="0"/>
        <w:autoSpaceDN w:val="0"/>
        <w:adjustRightInd w:val="0"/>
        <w:rPr>
          <w:rFonts w:ascii="Arial Narrow" w:hAnsi="Arial Narrow" w:cs="Arial"/>
          <w:color w:val="1F497D" w:themeColor="text2"/>
          <w:sz w:val="22"/>
          <w:szCs w:val="22"/>
        </w:rPr>
      </w:pPr>
    </w:p>
    <w:p w14:paraId="41E76F86" w14:textId="12B8986F" w:rsidR="008C24E1" w:rsidRDefault="00780F0E" w:rsidP="00A67306">
      <w:pPr>
        <w:rPr>
          <w:rFonts w:ascii="Arial Narrow" w:hAnsi="Arial Narrow" w:cs="Arial"/>
          <w:color w:val="1F497D" w:themeColor="text2"/>
          <w:sz w:val="22"/>
          <w:szCs w:val="22"/>
        </w:rPr>
      </w:pPr>
      <w:r>
        <w:rPr>
          <w:noProof/>
        </w:rPr>
        <w:drawing>
          <wp:inline distT="0" distB="0" distL="0" distR="0" wp14:anchorId="4EBC9644" wp14:editId="25D9FBB9">
            <wp:extent cx="6411371" cy="2357120"/>
            <wp:effectExtent l="0" t="0" r="0" b="0"/>
            <wp:docPr id="36" name="Gra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9933FF">
        <w:rPr>
          <w:rFonts w:ascii="Arial Narrow" w:hAnsi="Arial Narrow" w:cs="Arial"/>
          <w:color w:val="1F497D" w:themeColor="text2"/>
          <w:sz w:val="22"/>
          <w:szCs w:val="22"/>
        </w:rPr>
        <w:br w:type="page"/>
      </w:r>
    </w:p>
    <w:p w14:paraId="11CD2973" w14:textId="5D625CE2" w:rsidR="001D3592" w:rsidRPr="000810FD" w:rsidRDefault="001D3592" w:rsidP="00C20913">
      <w:pPr>
        <w:rPr>
          <w:rFonts w:ascii="Arial Narrow" w:hAnsi="Arial Narrow" w:cs="Arial"/>
          <w:color w:val="1F497D" w:themeColor="text2"/>
          <w:sz w:val="22"/>
          <w:szCs w:val="22"/>
        </w:rPr>
        <w:sectPr w:rsidR="001D3592" w:rsidRPr="000810FD" w:rsidSect="002261D9">
          <w:headerReference w:type="default" r:id="rId28"/>
          <w:footerReference w:type="default" r:id="rId29"/>
          <w:pgSz w:w="11906" w:h="16838" w:code="9"/>
          <w:pgMar w:top="567" w:right="992" w:bottom="714" w:left="992" w:header="0" w:footer="0" w:gutter="0"/>
          <w:cols w:space="430"/>
          <w:docGrid w:linePitch="360"/>
        </w:sectPr>
      </w:pPr>
    </w:p>
    <w:p w14:paraId="4C9B51D2" w14:textId="77777777" w:rsidR="00A032FE" w:rsidRDefault="00A032FE" w:rsidP="001C4485">
      <w:pPr>
        <w:autoSpaceDE w:val="0"/>
        <w:autoSpaceDN w:val="0"/>
        <w:adjustRightInd w:val="0"/>
        <w:spacing w:after="120"/>
        <w:jc w:val="both"/>
        <w:outlineLvl w:val="0"/>
        <w:rPr>
          <w:rFonts w:ascii="Georgia" w:hAnsi="Georgia" w:cs="Arial"/>
          <w:color w:val="1F497D" w:themeColor="text2"/>
          <w:sz w:val="48"/>
          <w:szCs w:val="48"/>
        </w:rPr>
      </w:pPr>
    </w:p>
    <w:p w14:paraId="11159BD7" w14:textId="0F6FBC66" w:rsidR="00C83D9A" w:rsidRPr="003B4168" w:rsidRDefault="001A7F1A" w:rsidP="001C4485">
      <w:pPr>
        <w:autoSpaceDE w:val="0"/>
        <w:autoSpaceDN w:val="0"/>
        <w:adjustRightInd w:val="0"/>
        <w:spacing w:after="120"/>
        <w:jc w:val="both"/>
        <w:outlineLvl w:val="0"/>
        <w:rPr>
          <w:rFonts w:ascii="Georgia" w:hAnsi="Georgia" w:cs="Arial"/>
          <w:color w:val="1F497D" w:themeColor="text2"/>
          <w:sz w:val="48"/>
          <w:szCs w:val="48"/>
        </w:rPr>
      </w:pPr>
      <w:r w:rsidRPr="003B4168">
        <w:rPr>
          <w:rFonts w:ascii="Georgia" w:hAnsi="Georgia" w:cs="Arial"/>
          <w:color w:val="1F497D" w:themeColor="text2"/>
          <w:sz w:val="48"/>
          <w:szCs w:val="48"/>
        </w:rPr>
        <w:t>Glossario</w:t>
      </w:r>
    </w:p>
    <w:p w14:paraId="420ECFFF" w14:textId="5C1FBC3B" w:rsidR="008B4E1D" w:rsidRDefault="00621CCC" w:rsidP="001C4485">
      <w:pPr>
        <w:spacing w:after="120"/>
        <w:jc w:val="both"/>
        <w:outlineLvl w:val="2"/>
        <w:rPr>
          <w:sz w:val="20"/>
          <w:szCs w:val="20"/>
        </w:rPr>
      </w:pPr>
      <w:r>
        <w:rPr>
          <w:rFonts w:ascii="Arial" w:hAnsi="Arial" w:cs="Arial"/>
          <w:b/>
          <w:bCs/>
          <w:noProof/>
          <w:color w:val="1F497D"/>
          <w:sz w:val="20"/>
          <w:szCs w:val="20"/>
        </w:rPr>
        <w:t>Divorzio:</w:t>
      </w:r>
      <w:r w:rsidR="008B4E1D">
        <w:rPr>
          <w:b/>
          <w:bCs/>
          <w:sz w:val="20"/>
          <w:szCs w:val="20"/>
        </w:rPr>
        <w:t xml:space="preserve"> </w:t>
      </w:r>
      <w:r w:rsidR="008B4E1D" w:rsidRPr="00621CCC">
        <w:rPr>
          <w:rFonts w:ascii="Arial" w:hAnsi="Arial" w:cs="Arial"/>
          <w:bCs/>
          <w:noProof/>
          <w:sz w:val="20"/>
          <w:szCs w:val="20"/>
        </w:rPr>
        <w:t>scioglimento o cessazione degli effetti civili del matrimonio in caso, rispettivamente, di matrimonio celebrato con rito civile o di matrimonio celebrato con rito religioso</w:t>
      </w:r>
      <w:r w:rsidR="00CE3A59">
        <w:rPr>
          <w:rFonts w:ascii="Arial" w:hAnsi="Arial" w:cs="Arial"/>
          <w:bCs/>
          <w:noProof/>
          <w:sz w:val="20"/>
          <w:szCs w:val="20"/>
        </w:rPr>
        <w:t xml:space="preserve"> concordatario</w:t>
      </w:r>
      <w:r w:rsidR="008B4E1D" w:rsidRPr="00621CCC">
        <w:rPr>
          <w:rFonts w:ascii="Arial" w:hAnsi="Arial" w:cs="Arial"/>
          <w:bCs/>
          <w:noProof/>
          <w:sz w:val="20"/>
          <w:szCs w:val="20"/>
        </w:rPr>
        <w:t>. Il divorzio è stato introdotto in Italia dalla Legge n. 898 del 1</w:t>
      </w:r>
      <w:r w:rsidR="009A78E7">
        <w:rPr>
          <w:rFonts w:ascii="Arial" w:hAnsi="Arial" w:cs="Arial"/>
          <w:bCs/>
          <w:noProof/>
          <w:sz w:val="20"/>
          <w:szCs w:val="20"/>
        </w:rPr>
        <w:t>°</w:t>
      </w:r>
      <w:r w:rsidR="008B4E1D" w:rsidRPr="00621CCC">
        <w:rPr>
          <w:rFonts w:ascii="Arial" w:hAnsi="Arial" w:cs="Arial"/>
          <w:bCs/>
          <w:noProof/>
          <w:sz w:val="20"/>
          <w:szCs w:val="20"/>
        </w:rPr>
        <w:t xml:space="preserve"> dicembre 1970.</w:t>
      </w:r>
      <w:r w:rsidR="008B4E1D">
        <w:rPr>
          <w:sz w:val="20"/>
          <w:szCs w:val="20"/>
        </w:rPr>
        <w:t xml:space="preserve"> </w:t>
      </w:r>
    </w:p>
    <w:p w14:paraId="599EF69D" w14:textId="4267C325" w:rsidR="0050419F" w:rsidRDefault="00490A29" w:rsidP="001C4485">
      <w:pPr>
        <w:spacing w:after="120"/>
        <w:jc w:val="both"/>
        <w:outlineLvl w:val="2"/>
        <w:rPr>
          <w:rFonts w:ascii="Arial" w:hAnsi="Arial" w:cs="Arial"/>
          <w:bCs/>
          <w:noProof/>
          <w:sz w:val="20"/>
          <w:szCs w:val="20"/>
        </w:rPr>
      </w:pPr>
      <w:r w:rsidRPr="001F0C12">
        <w:rPr>
          <w:rFonts w:ascii="Arial" w:hAnsi="Arial" w:cs="Arial"/>
          <w:b/>
          <w:bCs/>
          <w:noProof/>
          <w:color w:val="1F497D"/>
          <w:sz w:val="20"/>
          <w:szCs w:val="20"/>
        </w:rPr>
        <w:t xml:space="preserve">Età media al primo matrimonio: </w:t>
      </w:r>
      <w:r w:rsidRPr="001F0C12">
        <w:rPr>
          <w:rFonts w:ascii="Arial" w:hAnsi="Arial" w:cs="Arial"/>
          <w:bCs/>
          <w:noProof/>
          <w:sz w:val="20"/>
          <w:szCs w:val="20"/>
        </w:rPr>
        <w:t xml:space="preserve">media delle età al primo matrimonio ponderata con i quozienti specifici di nuzialità per età </w:t>
      </w:r>
      <w:r w:rsidR="008E5E16" w:rsidRPr="001F0C12">
        <w:rPr>
          <w:rFonts w:ascii="Arial" w:hAnsi="Arial" w:cs="Arial"/>
          <w:bCs/>
          <w:noProof/>
          <w:sz w:val="20"/>
          <w:szCs w:val="20"/>
        </w:rPr>
        <w:t>(tra 1</w:t>
      </w:r>
      <w:r w:rsidR="00562900" w:rsidRPr="001F0C12">
        <w:rPr>
          <w:rFonts w:ascii="Arial" w:hAnsi="Arial" w:cs="Arial"/>
          <w:bCs/>
          <w:noProof/>
          <w:sz w:val="20"/>
          <w:szCs w:val="20"/>
        </w:rPr>
        <w:t xml:space="preserve">6 </w:t>
      </w:r>
      <w:r w:rsidR="008E5E16" w:rsidRPr="001F0C12">
        <w:rPr>
          <w:rFonts w:ascii="Arial" w:hAnsi="Arial" w:cs="Arial"/>
          <w:bCs/>
          <w:noProof/>
          <w:sz w:val="20"/>
          <w:szCs w:val="20"/>
        </w:rPr>
        <w:t xml:space="preserve">e 49 anni) </w:t>
      </w:r>
      <w:r w:rsidRPr="001F0C12">
        <w:rPr>
          <w:rFonts w:ascii="Arial" w:hAnsi="Arial" w:cs="Arial"/>
          <w:bCs/>
          <w:noProof/>
          <w:sz w:val="20"/>
          <w:szCs w:val="20"/>
        </w:rPr>
        <w:t>della/o sposa/o.</w:t>
      </w:r>
    </w:p>
    <w:p w14:paraId="68025E84" w14:textId="7781B9EA" w:rsidR="0050419F" w:rsidRPr="0050419F" w:rsidRDefault="0050419F" w:rsidP="001C4485">
      <w:pPr>
        <w:spacing w:after="120"/>
        <w:jc w:val="both"/>
        <w:outlineLvl w:val="2"/>
        <w:rPr>
          <w:rFonts w:ascii="Arial" w:hAnsi="Arial" w:cs="Arial"/>
          <w:bCs/>
          <w:noProof/>
          <w:sz w:val="20"/>
          <w:szCs w:val="20"/>
        </w:rPr>
      </w:pPr>
      <w:r w:rsidRPr="003D5A04">
        <w:rPr>
          <w:rFonts w:ascii="Arial" w:hAnsi="Arial" w:cs="Arial"/>
          <w:b/>
          <w:bCs/>
          <w:noProof/>
          <w:color w:val="1F497D"/>
          <w:sz w:val="20"/>
          <w:szCs w:val="20"/>
        </w:rPr>
        <w:t xml:space="preserve">Età media all’unione civile: </w:t>
      </w:r>
      <w:r w:rsidRPr="003D5A04">
        <w:rPr>
          <w:rFonts w:ascii="Arial" w:hAnsi="Arial" w:cs="Arial"/>
          <w:bCs/>
          <w:noProof/>
          <w:sz w:val="20"/>
          <w:szCs w:val="20"/>
        </w:rPr>
        <w:t>media delle età all’unione civile ponderata con i quozienti specifici di unione civile per età degli uniti.</w:t>
      </w:r>
    </w:p>
    <w:p w14:paraId="50C40E97" w14:textId="1F59E3F2" w:rsidR="00490A29" w:rsidRDefault="00490A29" w:rsidP="001C4485">
      <w:pPr>
        <w:spacing w:after="120"/>
        <w:jc w:val="both"/>
        <w:outlineLvl w:val="2"/>
        <w:rPr>
          <w:rFonts w:ascii="Arial" w:hAnsi="Arial" w:cs="Arial"/>
          <w:bCs/>
          <w:noProof/>
          <w:sz w:val="20"/>
          <w:szCs w:val="20"/>
        </w:rPr>
      </w:pPr>
      <w:r w:rsidRPr="001F0C12">
        <w:rPr>
          <w:rFonts w:ascii="Arial" w:hAnsi="Arial" w:cs="Arial"/>
          <w:b/>
          <w:bCs/>
          <w:noProof/>
          <w:color w:val="1F497D"/>
          <w:sz w:val="20"/>
          <w:szCs w:val="20"/>
        </w:rPr>
        <w:t>Indice (o tasso) di primo-nuzialità</w:t>
      </w:r>
      <w:r w:rsidR="00944C96" w:rsidRPr="001F0C12">
        <w:rPr>
          <w:rFonts w:ascii="Arial" w:hAnsi="Arial" w:cs="Arial"/>
          <w:b/>
          <w:bCs/>
          <w:noProof/>
          <w:color w:val="1F497D"/>
          <w:sz w:val="20"/>
          <w:szCs w:val="20"/>
        </w:rPr>
        <w:t xml:space="preserve"> totale</w:t>
      </w:r>
      <w:r w:rsidRPr="001F0C12">
        <w:rPr>
          <w:rFonts w:ascii="Arial" w:hAnsi="Arial" w:cs="Arial"/>
          <w:b/>
          <w:bCs/>
          <w:noProof/>
          <w:color w:val="1F497D"/>
          <w:sz w:val="20"/>
          <w:szCs w:val="20"/>
        </w:rPr>
        <w:t xml:space="preserve">: </w:t>
      </w:r>
      <w:r w:rsidRPr="001F0C12">
        <w:rPr>
          <w:rFonts w:ascii="Arial" w:hAnsi="Arial" w:cs="Arial"/>
          <w:bCs/>
          <w:noProof/>
          <w:sz w:val="20"/>
          <w:szCs w:val="20"/>
        </w:rPr>
        <w:t>somma dei quozienti specifici di nuzialità calcolati rapportando, per ogni età</w:t>
      </w:r>
      <w:r w:rsidR="008E5E16" w:rsidRPr="001F0C12">
        <w:rPr>
          <w:rFonts w:ascii="Arial" w:hAnsi="Arial" w:cs="Arial"/>
          <w:bCs/>
          <w:noProof/>
          <w:sz w:val="20"/>
          <w:szCs w:val="20"/>
        </w:rPr>
        <w:t xml:space="preserve"> </w:t>
      </w:r>
      <w:r w:rsidRPr="001F0C12">
        <w:rPr>
          <w:rFonts w:ascii="Arial" w:hAnsi="Arial" w:cs="Arial"/>
          <w:bCs/>
          <w:noProof/>
          <w:sz w:val="20"/>
          <w:szCs w:val="20"/>
        </w:rPr>
        <w:t>il numero d</w:t>
      </w:r>
      <w:r w:rsidR="00730685" w:rsidRPr="001F0C12">
        <w:rPr>
          <w:rFonts w:ascii="Arial" w:hAnsi="Arial" w:cs="Arial"/>
          <w:bCs/>
          <w:noProof/>
          <w:sz w:val="20"/>
          <w:szCs w:val="20"/>
        </w:rPr>
        <w:t xml:space="preserve">i sposi/e che celebrano il loro </w:t>
      </w:r>
      <w:r w:rsidRPr="001F0C12">
        <w:rPr>
          <w:rFonts w:ascii="Arial" w:hAnsi="Arial" w:cs="Arial"/>
          <w:bCs/>
          <w:noProof/>
          <w:sz w:val="20"/>
          <w:szCs w:val="20"/>
        </w:rPr>
        <w:t>prim</w:t>
      </w:r>
      <w:r w:rsidR="00730685" w:rsidRPr="001F0C12">
        <w:rPr>
          <w:rFonts w:ascii="Arial" w:hAnsi="Arial" w:cs="Arial"/>
          <w:bCs/>
          <w:noProof/>
          <w:sz w:val="20"/>
          <w:szCs w:val="20"/>
        </w:rPr>
        <w:t>o</w:t>
      </w:r>
      <w:r w:rsidRPr="001F0C12">
        <w:rPr>
          <w:rFonts w:ascii="Arial" w:hAnsi="Arial" w:cs="Arial"/>
          <w:bCs/>
          <w:noProof/>
          <w:sz w:val="20"/>
          <w:szCs w:val="20"/>
        </w:rPr>
        <w:t xml:space="preserve"> matrimoni</w:t>
      </w:r>
      <w:r w:rsidR="00730685" w:rsidRPr="001F0C12">
        <w:rPr>
          <w:rFonts w:ascii="Arial" w:hAnsi="Arial" w:cs="Arial"/>
          <w:bCs/>
          <w:noProof/>
          <w:sz w:val="20"/>
          <w:szCs w:val="20"/>
        </w:rPr>
        <w:t>o</w:t>
      </w:r>
      <w:r w:rsidRPr="001F0C12">
        <w:rPr>
          <w:rFonts w:ascii="Arial" w:hAnsi="Arial" w:cs="Arial"/>
          <w:bCs/>
          <w:noProof/>
          <w:sz w:val="20"/>
          <w:szCs w:val="20"/>
        </w:rPr>
        <w:t xml:space="preserve"> all’ammontare medio della </w:t>
      </w:r>
      <w:r w:rsidR="00730685" w:rsidRPr="001F0C12">
        <w:rPr>
          <w:rFonts w:ascii="Arial" w:hAnsi="Arial" w:cs="Arial"/>
          <w:bCs/>
          <w:noProof/>
          <w:sz w:val="20"/>
          <w:szCs w:val="20"/>
        </w:rPr>
        <w:t xml:space="preserve">corrispondente </w:t>
      </w:r>
      <w:r w:rsidRPr="001F0C12">
        <w:rPr>
          <w:rFonts w:ascii="Arial" w:hAnsi="Arial" w:cs="Arial"/>
          <w:bCs/>
          <w:noProof/>
          <w:sz w:val="20"/>
          <w:szCs w:val="20"/>
        </w:rPr>
        <w:t>popolazione.</w:t>
      </w:r>
      <w:r w:rsidR="005D318D" w:rsidRPr="001F0C12">
        <w:rPr>
          <w:rFonts w:ascii="Arial" w:hAnsi="Arial" w:cs="Arial"/>
          <w:bCs/>
          <w:noProof/>
          <w:sz w:val="20"/>
          <w:szCs w:val="20"/>
        </w:rPr>
        <w:t xml:space="preserve"> L’indicatore può essere calcolato considerando tutte le età da 16 anni compiuti in poi, oppure può essere riferito ad un intervallo specifico. A tale proposito il calcolo dell’indicatore tra 16-49 anni è usualmente diffuso dall’Istat per il monitoraggio dell’evoluzione dei processi di formazione delle nuove famiglie e per il legame con la fecondità.</w:t>
      </w:r>
      <w:r w:rsidR="005D318D">
        <w:rPr>
          <w:rFonts w:ascii="Arial" w:hAnsi="Arial" w:cs="Arial"/>
          <w:bCs/>
          <w:noProof/>
          <w:sz w:val="20"/>
          <w:szCs w:val="20"/>
        </w:rPr>
        <w:t xml:space="preserve"> </w:t>
      </w:r>
    </w:p>
    <w:p w14:paraId="67CE17E2" w14:textId="170FFEF7" w:rsidR="00D46E7C" w:rsidRPr="0041469D" w:rsidRDefault="00560573" w:rsidP="00560573">
      <w:pPr>
        <w:spacing w:after="120"/>
        <w:jc w:val="both"/>
        <w:outlineLvl w:val="2"/>
        <w:rPr>
          <w:rFonts w:ascii="Arial" w:hAnsi="Arial" w:cs="Arial"/>
          <w:b/>
          <w:bCs/>
          <w:noProof/>
          <w:color w:val="1F497D"/>
          <w:sz w:val="20"/>
          <w:szCs w:val="20"/>
        </w:rPr>
      </w:pPr>
      <w:r w:rsidRPr="0041469D">
        <w:rPr>
          <w:rFonts w:ascii="Arial" w:hAnsi="Arial" w:cs="Arial"/>
          <w:b/>
          <w:bCs/>
          <w:noProof/>
          <w:color w:val="1F497D"/>
          <w:sz w:val="20"/>
          <w:szCs w:val="20"/>
        </w:rPr>
        <w:t>Matrimonio:</w:t>
      </w:r>
      <w:r>
        <w:rPr>
          <w:rFonts w:ascii="Arial" w:hAnsi="Arial" w:cs="Arial"/>
          <w:b/>
          <w:bCs/>
          <w:noProof/>
          <w:color w:val="1F497D"/>
          <w:sz w:val="20"/>
          <w:szCs w:val="20"/>
        </w:rPr>
        <w:t xml:space="preserve"> </w:t>
      </w:r>
      <w:r>
        <w:rPr>
          <w:rFonts w:ascii="Arial" w:hAnsi="Arial" w:cs="Arial"/>
          <w:bCs/>
          <w:noProof/>
          <w:sz w:val="20"/>
          <w:szCs w:val="20"/>
        </w:rPr>
        <w:t>a</w:t>
      </w:r>
      <w:r w:rsidRPr="00560573">
        <w:rPr>
          <w:rFonts w:ascii="Arial" w:hAnsi="Arial" w:cs="Arial"/>
          <w:bCs/>
          <w:noProof/>
          <w:sz w:val="20"/>
          <w:szCs w:val="20"/>
        </w:rPr>
        <w:t xml:space="preserve">tto formale, definito nell’articolo 29 della Costituzione, con cui due persone maggiorenni (con almeno 18 anni), </w:t>
      </w:r>
      <w:r>
        <w:rPr>
          <w:rFonts w:ascii="Arial" w:hAnsi="Arial" w:cs="Arial"/>
          <w:bCs/>
          <w:noProof/>
          <w:sz w:val="20"/>
          <w:szCs w:val="20"/>
        </w:rPr>
        <w:t>di sesso opposto</w:t>
      </w:r>
      <w:r w:rsidRPr="00560573">
        <w:rPr>
          <w:rFonts w:ascii="Arial" w:hAnsi="Arial" w:cs="Arial"/>
          <w:bCs/>
          <w:noProof/>
          <w:sz w:val="20"/>
          <w:szCs w:val="20"/>
        </w:rPr>
        <w:t>, rendono pubblica la loro volontà di concretizzare una</w:t>
      </w:r>
      <w:r>
        <w:rPr>
          <w:rFonts w:ascii="Arial" w:hAnsi="Arial" w:cs="Arial"/>
          <w:bCs/>
          <w:noProof/>
          <w:sz w:val="20"/>
          <w:szCs w:val="20"/>
        </w:rPr>
        <w:t xml:space="preserve"> relazione affettiva di coppia. </w:t>
      </w:r>
      <w:r w:rsidRPr="00560573">
        <w:rPr>
          <w:rFonts w:ascii="Arial" w:hAnsi="Arial" w:cs="Arial"/>
          <w:bCs/>
          <w:noProof/>
          <w:sz w:val="20"/>
          <w:szCs w:val="20"/>
        </w:rPr>
        <w:t xml:space="preserve">Lo </w:t>
      </w:r>
      <w:r w:rsidR="00D8372D">
        <w:rPr>
          <w:rFonts w:ascii="Arial" w:hAnsi="Arial" w:cs="Arial"/>
          <w:bCs/>
          <w:noProof/>
          <w:sz w:val="20"/>
          <w:szCs w:val="20"/>
        </w:rPr>
        <w:t>S</w:t>
      </w:r>
      <w:r w:rsidRPr="00560573">
        <w:rPr>
          <w:rFonts w:ascii="Arial" w:hAnsi="Arial" w:cs="Arial"/>
          <w:bCs/>
          <w:noProof/>
          <w:sz w:val="20"/>
          <w:szCs w:val="20"/>
        </w:rPr>
        <w:t>tato disciplina i casi in cui eccezionalmente possano contrarre matrimonio anche due persone minori di 18 anni.</w:t>
      </w:r>
    </w:p>
    <w:p w14:paraId="0C70A0D8" w14:textId="77777777" w:rsidR="00490A29" w:rsidRPr="000C4223" w:rsidRDefault="00490A29" w:rsidP="001C4485">
      <w:pPr>
        <w:spacing w:after="120"/>
        <w:jc w:val="both"/>
        <w:outlineLvl w:val="2"/>
        <w:rPr>
          <w:rFonts w:ascii="Arial" w:hAnsi="Arial" w:cs="Arial"/>
          <w:bCs/>
          <w:noProof/>
          <w:color w:val="1F497D"/>
          <w:sz w:val="20"/>
          <w:szCs w:val="20"/>
        </w:rPr>
      </w:pPr>
      <w:r w:rsidRPr="00490A29">
        <w:rPr>
          <w:rFonts w:ascii="Arial" w:hAnsi="Arial" w:cs="Arial"/>
          <w:b/>
          <w:bCs/>
          <w:noProof/>
          <w:color w:val="1F497D"/>
          <w:sz w:val="20"/>
          <w:szCs w:val="20"/>
        </w:rPr>
        <w:t xml:space="preserve">Matrimonio misto: </w:t>
      </w:r>
      <w:r w:rsidRPr="000C4223">
        <w:rPr>
          <w:rFonts w:ascii="Arial" w:hAnsi="Arial" w:cs="Arial"/>
          <w:bCs/>
          <w:noProof/>
          <w:sz w:val="20"/>
          <w:szCs w:val="20"/>
        </w:rPr>
        <w:t>celebrazione in cui uno dei due sposi è di cittadinanza straniera e l’altro di cittadinanza italiana.</w:t>
      </w:r>
    </w:p>
    <w:p w14:paraId="781F2600" w14:textId="29F337D0" w:rsidR="00490A29" w:rsidRDefault="00490A29" w:rsidP="001C4485">
      <w:pPr>
        <w:spacing w:after="120"/>
        <w:jc w:val="both"/>
        <w:outlineLvl w:val="2"/>
        <w:rPr>
          <w:rFonts w:ascii="Arial" w:hAnsi="Arial" w:cs="Arial"/>
          <w:bCs/>
          <w:noProof/>
          <w:sz w:val="20"/>
          <w:szCs w:val="20"/>
        </w:rPr>
      </w:pPr>
      <w:r w:rsidRPr="00490A29">
        <w:rPr>
          <w:rFonts w:ascii="Arial" w:hAnsi="Arial" w:cs="Arial"/>
          <w:b/>
          <w:bCs/>
          <w:noProof/>
          <w:color w:val="1F497D"/>
          <w:sz w:val="20"/>
          <w:szCs w:val="20"/>
        </w:rPr>
        <w:t xml:space="preserve">Nuzialità (quoziente di): </w:t>
      </w:r>
      <w:r w:rsidRPr="000C4223">
        <w:rPr>
          <w:rFonts w:ascii="Arial" w:hAnsi="Arial" w:cs="Arial"/>
          <w:bCs/>
          <w:noProof/>
          <w:sz w:val="20"/>
          <w:szCs w:val="20"/>
        </w:rPr>
        <w:t>rapporto tra il numero di matrimoni celebrati nell'anno e l'ammontare medio della popolazione residente (per 1000).</w:t>
      </w:r>
    </w:p>
    <w:p w14:paraId="72B0FC34" w14:textId="10CC76D7" w:rsidR="00730685" w:rsidRPr="00562900" w:rsidRDefault="00730685" w:rsidP="001C4485">
      <w:pPr>
        <w:spacing w:after="120"/>
        <w:jc w:val="both"/>
        <w:outlineLvl w:val="2"/>
        <w:rPr>
          <w:rFonts w:ascii="Arial" w:hAnsi="Arial" w:cs="Arial"/>
          <w:bCs/>
          <w:noProof/>
          <w:sz w:val="20"/>
          <w:szCs w:val="20"/>
        </w:rPr>
      </w:pPr>
      <w:r w:rsidRPr="00490A29">
        <w:rPr>
          <w:rFonts w:ascii="Arial" w:hAnsi="Arial" w:cs="Arial"/>
          <w:b/>
          <w:bCs/>
          <w:noProof/>
          <w:color w:val="1F497D"/>
          <w:sz w:val="20"/>
          <w:szCs w:val="20"/>
        </w:rPr>
        <w:t xml:space="preserve">Nuzialità (quoziente </w:t>
      </w:r>
      <w:r>
        <w:rPr>
          <w:rFonts w:ascii="Arial" w:hAnsi="Arial" w:cs="Arial"/>
          <w:b/>
          <w:bCs/>
          <w:noProof/>
          <w:color w:val="1F497D"/>
          <w:sz w:val="20"/>
          <w:szCs w:val="20"/>
        </w:rPr>
        <w:t xml:space="preserve">specifico </w:t>
      </w:r>
      <w:r w:rsidRPr="00490A29">
        <w:rPr>
          <w:rFonts w:ascii="Arial" w:hAnsi="Arial" w:cs="Arial"/>
          <w:b/>
          <w:bCs/>
          <w:noProof/>
          <w:color w:val="1F497D"/>
          <w:sz w:val="20"/>
          <w:szCs w:val="20"/>
        </w:rPr>
        <w:t xml:space="preserve">di): </w:t>
      </w:r>
      <w:r w:rsidRPr="000C4223">
        <w:rPr>
          <w:rFonts w:ascii="Arial" w:hAnsi="Arial" w:cs="Arial"/>
          <w:bCs/>
          <w:noProof/>
          <w:sz w:val="20"/>
          <w:szCs w:val="20"/>
        </w:rPr>
        <w:t xml:space="preserve">rapporto tra il numero </w:t>
      </w:r>
      <w:r>
        <w:rPr>
          <w:rFonts w:ascii="Arial" w:hAnsi="Arial" w:cs="Arial"/>
          <w:bCs/>
          <w:noProof/>
          <w:sz w:val="20"/>
          <w:szCs w:val="20"/>
        </w:rPr>
        <w:t xml:space="preserve">degli/delle sposi/e in età x </w:t>
      </w:r>
      <w:r w:rsidRPr="000C4223">
        <w:rPr>
          <w:rFonts w:ascii="Arial" w:hAnsi="Arial" w:cs="Arial"/>
          <w:bCs/>
          <w:noProof/>
          <w:sz w:val="20"/>
          <w:szCs w:val="20"/>
        </w:rPr>
        <w:t xml:space="preserve">nell'anno e l'ammontare medio della </w:t>
      </w:r>
      <w:r>
        <w:rPr>
          <w:rFonts w:ascii="Arial" w:hAnsi="Arial" w:cs="Arial"/>
          <w:bCs/>
          <w:noProof/>
          <w:sz w:val="20"/>
          <w:szCs w:val="20"/>
        </w:rPr>
        <w:t xml:space="preserve">corrispondente </w:t>
      </w:r>
      <w:r w:rsidRPr="000C4223">
        <w:rPr>
          <w:rFonts w:ascii="Arial" w:hAnsi="Arial" w:cs="Arial"/>
          <w:bCs/>
          <w:noProof/>
          <w:sz w:val="20"/>
          <w:szCs w:val="20"/>
        </w:rPr>
        <w:t xml:space="preserve">popolazione residente </w:t>
      </w:r>
      <w:r>
        <w:rPr>
          <w:rFonts w:ascii="Arial" w:hAnsi="Arial" w:cs="Arial"/>
          <w:bCs/>
          <w:noProof/>
          <w:sz w:val="20"/>
          <w:szCs w:val="20"/>
        </w:rPr>
        <w:t xml:space="preserve">dela stessa età e sesso </w:t>
      </w:r>
      <w:r w:rsidRPr="000C4223">
        <w:rPr>
          <w:rFonts w:ascii="Arial" w:hAnsi="Arial" w:cs="Arial"/>
          <w:bCs/>
          <w:noProof/>
          <w:sz w:val="20"/>
          <w:szCs w:val="20"/>
        </w:rPr>
        <w:t>(per 1000).</w:t>
      </w:r>
    </w:p>
    <w:p w14:paraId="5E01D7B7" w14:textId="77777777" w:rsidR="00490A29" w:rsidRPr="000C4223" w:rsidRDefault="00490A29" w:rsidP="001C4485">
      <w:pPr>
        <w:spacing w:after="120"/>
        <w:jc w:val="both"/>
        <w:outlineLvl w:val="2"/>
        <w:rPr>
          <w:rFonts w:ascii="Arial" w:hAnsi="Arial" w:cs="Arial"/>
          <w:bCs/>
          <w:noProof/>
          <w:color w:val="1F497D"/>
          <w:sz w:val="20"/>
          <w:szCs w:val="20"/>
        </w:rPr>
      </w:pPr>
      <w:r w:rsidRPr="00490A29">
        <w:rPr>
          <w:rFonts w:ascii="Arial" w:hAnsi="Arial" w:cs="Arial"/>
          <w:b/>
          <w:bCs/>
          <w:noProof/>
          <w:color w:val="1F497D"/>
          <w:sz w:val="20"/>
          <w:szCs w:val="20"/>
        </w:rPr>
        <w:t xml:space="preserve">Primo matrimonio: </w:t>
      </w:r>
      <w:r w:rsidRPr="000C4223">
        <w:rPr>
          <w:rFonts w:ascii="Arial" w:hAnsi="Arial" w:cs="Arial"/>
          <w:bCs/>
          <w:noProof/>
          <w:sz w:val="20"/>
          <w:szCs w:val="20"/>
        </w:rPr>
        <w:t>celebrazione in cui lo stato civile dello sposo/a al momento delle nozze è celibe/nubile.</w:t>
      </w:r>
    </w:p>
    <w:p w14:paraId="07BD824B" w14:textId="4885025E" w:rsidR="00490A29" w:rsidRPr="000C4223" w:rsidRDefault="00490A29" w:rsidP="001C4485">
      <w:pPr>
        <w:spacing w:after="120"/>
        <w:jc w:val="both"/>
        <w:outlineLvl w:val="2"/>
        <w:rPr>
          <w:rFonts w:ascii="Arial" w:hAnsi="Arial" w:cs="Arial"/>
          <w:bCs/>
          <w:noProof/>
          <w:color w:val="1F497D"/>
          <w:sz w:val="20"/>
          <w:szCs w:val="20"/>
        </w:rPr>
      </w:pPr>
      <w:r w:rsidRPr="00490A29">
        <w:rPr>
          <w:rFonts w:ascii="Arial" w:hAnsi="Arial" w:cs="Arial"/>
          <w:b/>
          <w:bCs/>
          <w:noProof/>
          <w:color w:val="1F497D"/>
          <w:sz w:val="20"/>
          <w:szCs w:val="20"/>
        </w:rPr>
        <w:t xml:space="preserve">Regime patrimoniale: </w:t>
      </w:r>
      <w:r w:rsidRPr="000C4223">
        <w:rPr>
          <w:rFonts w:ascii="Arial" w:hAnsi="Arial" w:cs="Arial"/>
          <w:bCs/>
          <w:noProof/>
          <w:sz w:val="20"/>
          <w:szCs w:val="20"/>
        </w:rPr>
        <w:t xml:space="preserve">il matrimonio instaura automaticamente il regime patrimoniale della Comunione dei beni (comunione legale), introdotta dalla Riforma del diritto di </w:t>
      </w:r>
      <w:r w:rsidR="008E50F9">
        <w:rPr>
          <w:rFonts w:ascii="Arial" w:hAnsi="Arial" w:cs="Arial"/>
          <w:bCs/>
          <w:noProof/>
          <w:sz w:val="20"/>
          <w:szCs w:val="20"/>
        </w:rPr>
        <w:t>f</w:t>
      </w:r>
      <w:r w:rsidRPr="000C4223">
        <w:rPr>
          <w:rFonts w:ascii="Arial" w:hAnsi="Arial" w:cs="Arial"/>
          <w:bCs/>
          <w:noProof/>
          <w:sz w:val="20"/>
          <w:szCs w:val="20"/>
        </w:rPr>
        <w:t>amiglia del 1975. Con la separazione dei beni (art. 215 Codice Civile), invece, ciascun coniuge conserva la titolarità esclusiva dei beni acquistati durante il matrimonio.</w:t>
      </w:r>
      <w:r w:rsidRPr="000C4223">
        <w:rPr>
          <w:rFonts w:ascii="Arial" w:hAnsi="Arial" w:cs="Arial"/>
          <w:bCs/>
          <w:noProof/>
          <w:color w:val="1F497D"/>
          <w:sz w:val="20"/>
          <w:szCs w:val="20"/>
        </w:rPr>
        <w:t xml:space="preserve"> </w:t>
      </w:r>
    </w:p>
    <w:p w14:paraId="0C3C1F90" w14:textId="74EE993C" w:rsidR="00490A29" w:rsidRPr="000C4223" w:rsidRDefault="00490A29" w:rsidP="001C4485">
      <w:pPr>
        <w:spacing w:after="120"/>
        <w:jc w:val="both"/>
        <w:outlineLvl w:val="2"/>
        <w:rPr>
          <w:rFonts w:ascii="Arial" w:hAnsi="Arial" w:cs="Arial"/>
          <w:bCs/>
          <w:noProof/>
          <w:color w:val="1F497D"/>
          <w:sz w:val="20"/>
          <w:szCs w:val="20"/>
        </w:rPr>
      </w:pPr>
      <w:r w:rsidRPr="00490A29">
        <w:rPr>
          <w:rFonts w:ascii="Arial" w:hAnsi="Arial" w:cs="Arial"/>
          <w:b/>
          <w:bCs/>
          <w:noProof/>
          <w:color w:val="1F497D"/>
          <w:sz w:val="20"/>
          <w:szCs w:val="20"/>
        </w:rPr>
        <w:t xml:space="preserve">Rito del matrimonio: </w:t>
      </w:r>
      <w:r w:rsidRPr="000C4223">
        <w:rPr>
          <w:rFonts w:ascii="Arial" w:hAnsi="Arial" w:cs="Arial"/>
          <w:bCs/>
          <w:noProof/>
          <w:sz w:val="20"/>
          <w:szCs w:val="20"/>
        </w:rPr>
        <w:t xml:space="preserve">la celebrazione del matrimonio può avvenire davanti all'Ufficiale di </w:t>
      </w:r>
      <w:r w:rsidR="005C35E9">
        <w:rPr>
          <w:rFonts w:ascii="Arial" w:hAnsi="Arial" w:cs="Arial"/>
          <w:bCs/>
          <w:noProof/>
          <w:sz w:val="20"/>
          <w:szCs w:val="20"/>
        </w:rPr>
        <w:t>S</w:t>
      </w:r>
      <w:r w:rsidRPr="000C4223">
        <w:rPr>
          <w:rFonts w:ascii="Arial" w:hAnsi="Arial" w:cs="Arial"/>
          <w:bCs/>
          <w:noProof/>
          <w:sz w:val="20"/>
          <w:szCs w:val="20"/>
        </w:rPr>
        <w:t xml:space="preserve">tato </w:t>
      </w:r>
      <w:r w:rsidR="005C35E9">
        <w:rPr>
          <w:rFonts w:ascii="Arial" w:hAnsi="Arial" w:cs="Arial"/>
          <w:bCs/>
          <w:noProof/>
          <w:sz w:val="20"/>
          <w:szCs w:val="20"/>
        </w:rPr>
        <w:t>C</w:t>
      </w:r>
      <w:r w:rsidRPr="000C4223">
        <w:rPr>
          <w:rFonts w:ascii="Arial" w:hAnsi="Arial" w:cs="Arial"/>
          <w:bCs/>
          <w:noProof/>
          <w:sz w:val="20"/>
          <w:szCs w:val="20"/>
        </w:rPr>
        <w:t>ivile</w:t>
      </w:r>
      <w:r w:rsidR="00BB292E">
        <w:rPr>
          <w:rFonts w:ascii="Arial" w:hAnsi="Arial" w:cs="Arial"/>
          <w:bCs/>
          <w:noProof/>
          <w:sz w:val="20"/>
          <w:szCs w:val="20"/>
        </w:rPr>
        <w:t xml:space="preserve"> (matrimonio con il rito civile)</w:t>
      </w:r>
      <w:r w:rsidRPr="000C4223">
        <w:rPr>
          <w:rFonts w:ascii="Arial" w:hAnsi="Arial" w:cs="Arial"/>
          <w:bCs/>
          <w:noProof/>
          <w:sz w:val="20"/>
          <w:szCs w:val="20"/>
        </w:rPr>
        <w:t>, oppure davanti a un ministro di culto cattolico o di uno degli altri culti ammessi dallo Stato. In tale ultimo caso, il matrimonio può comunque produrre effetti sul piano civile (si parla di matrimonio concordatario).</w:t>
      </w:r>
    </w:p>
    <w:p w14:paraId="79938025" w14:textId="77777777" w:rsidR="00490A29" w:rsidRDefault="00490A29" w:rsidP="001C4485">
      <w:pPr>
        <w:spacing w:after="120"/>
        <w:jc w:val="both"/>
        <w:outlineLvl w:val="2"/>
        <w:rPr>
          <w:rFonts w:ascii="Arial" w:hAnsi="Arial" w:cs="Arial"/>
          <w:bCs/>
          <w:noProof/>
          <w:sz w:val="20"/>
          <w:szCs w:val="20"/>
        </w:rPr>
      </w:pPr>
      <w:r w:rsidRPr="00490A29">
        <w:rPr>
          <w:rFonts w:ascii="Arial" w:hAnsi="Arial" w:cs="Arial"/>
          <w:b/>
          <w:bCs/>
          <w:noProof/>
          <w:color w:val="1F497D"/>
          <w:sz w:val="20"/>
          <w:szCs w:val="20"/>
        </w:rPr>
        <w:t xml:space="preserve">Seconde nozze: </w:t>
      </w:r>
      <w:r w:rsidRPr="000C4223">
        <w:rPr>
          <w:rFonts w:ascii="Arial" w:hAnsi="Arial" w:cs="Arial"/>
          <w:bCs/>
          <w:noProof/>
          <w:sz w:val="20"/>
          <w:szCs w:val="20"/>
        </w:rPr>
        <w:t>matrimoni in cui almeno uno sposo è stato già coniugato.</w:t>
      </w:r>
    </w:p>
    <w:p w14:paraId="42E370C8" w14:textId="3B468FAD" w:rsidR="00CC689B" w:rsidRDefault="00CC689B" w:rsidP="001C4485">
      <w:pPr>
        <w:spacing w:after="120"/>
        <w:jc w:val="both"/>
        <w:rPr>
          <w:rFonts w:ascii="Arial" w:hAnsi="Arial" w:cs="Arial"/>
          <w:sz w:val="20"/>
          <w:szCs w:val="20"/>
        </w:rPr>
      </w:pPr>
      <w:r>
        <w:rPr>
          <w:rFonts w:ascii="Arial" w:hAnsi="Arial" w:cs="Arial"/>
          <w:b/>
          <w:bCs/>
          <w:noProof/>
          <w:color w:val="1F497D"/>
          <w:sz w:val="20"/>
          <w:szCs w:val="20"/>
        </w:rPr>
        <w:t>Separazione</w:t>
      </w:r>
      <w:r w:rsidR="00ED09F2">
        <w:rPr>
          <w:rFonts w:ascii="Arial" w:hAnsi="Arial" w:cs="Arial"/>
          <w:b/>
          <w:bCs/>
          <w:noProof/>
          <w:color w:val="1F497D"/>
          <w:sz w:val="20"/>
          <w:szCs w:val="20"/>
        </w:rPr>
        <w:t>/divorzio</w:t>
      </w:r>
      <w:r>
        <w:rPr>
          <w:rFonts w:ascii="Arial" w:hAnsi="Arial" w:cs="Arial"/>
          <w:b/>
          <w:bCs/>
          <w:noProof/>
          <w:color w:val="1F497D"/>
          <w:sz w:val="20"/>
          <w:szCs w:val="20"/>
        </w:rPr>
        <w:t xml:space="preserve"> consensuale:</w:t>
      </w:r>
      <w:r>
        <w:rPr>
          <w:rFonts w:ascii="Arial" w:hAnsi="Arial" w:cs="Arial"/>
          <w:sz w:val="20"/>
          <w:szCs w:val="20"/>
        </w:rPr>
        <w:t xml:space="preserve"> accordo fra i coniugi con il quale vengono stabilite le modalità di affidamento dei figli, gli eventuali assegni familiari, la divisione dei beni. In conseguenza di quanto stabilito dagli artt. 6 e 12 del </w:t>
      </w:r>
      <w:r w:rsidR="003E32B7">
        <w:rPr>
          <w:rFonts w:ascii="Arial" w:hAnsi="Arial" w:cs="Arial"/>
          <w:sz w:val="20"/>
          <w:szCs w:val="20"/>
        </w:rPr>
        <w:t>D</w:t>
      </w:r>
      <w:r>
        <w:rPr>
          <w:rFonts w:ascii="Arial" w:hAnsi="Arial" w:cs="Arial"/>
          <w:sz w:val="20"/>
          <w:szCs w:val="20"/>
        </w:rPr>
        <w:t xml:space="preserve">ecreto </w:t>
      </w:r>
      <w:r w:rsidR="003E32B7">
        <w:rPr>
          <w:rFonts w:ascii="Arial" w:hAnsi="Arial" w:cs="Arial"/>
          <w:sz w:val="20"/>
          <w:szCs w:val="20"/>
        </w:rPr>
        <w:t>l</w:t>
      </w:r>
      <w:r>
        <w:rPr>
          <w:rFonts w:ascii="Arial" w:hAnsi="Arial" w:cs="Arial"/>
          <w:sz w:val="20"/>
          <w:szCs w:val="20"/>
        </w:rPr>
        <w:t>egge 132/2014 vengono introdotte due nuove fattispecie per chi intenda separarsi</w:t>
      </w:r>
      <w:r w:rsidR="00ED09F2">
        <w:rPr>
          <w:rFonts w:ascii="Arial" w:hAnsi="Arial" w:cs="Arial"/>
          <w:sz w:val="20"/>
          <w:szCs w:val="20"/>
        </w:rPr>
        <w:t xml:space="preserve"> o divorziarsi</w:t>
      </w:r>
      <w:r>
        <w:rPr>
          <w:rFonts w:ascii="Arial" w:hAnsi="Arial" w:cs="Arial"/>
          <w:sz w:val="20"/>
          <w:szCs w:val="20"/>
        </w:rPr>
        <w:t xml:space="preserve"> consensualmente in alternativa alla tradizionale ratifica da parte del giudice: convenzione di negoziazione assistita da almeno un avvocato per parte (ex art. 6); innanzi </w:t>
      </w:r>
      <w:r w:rsidR="009A78E7">
        <w:rPr>
          <w:rFonts w:ascii="Arial" w:hAnsi="Arial" w:cs="Arial"/>
          <w:sz w:val="20"/>
          <w:szCs w:val="20"/>
        </w:rPr>
        <w:t xml:space="preserve">all’Ufficiale </w:t>
      </w:r>
      <w:r>
        <w:rPr>
          <w:rFonts w:ascii="Arial" w:hAnsi="Arial" w:cs="Arial"/>
          <w:sz w:val="20"/>
          <w:szCs w:val="20"/>
        </w:rPr>
        <w:t xml:space="preserve">di </w:t>
      </w:r>
      <w:r w:rsidR="009A78E7">
        <w:rPr>
          <w:rFonts w:ascii="Arial" w:hAnsi="Arial" w:cs="Arial"/>
          <w:sz w:val="20"/>
          <w:szCs w:val="20"/>
        </w:rPr>
        <w:t>S</w:t>
      </w:r>
      <w:r>
        <w:rPr>
          <w:rFonts w:ascii="Arial" w:hAnsi="Arial" w:cs="Arial"/>
          <w:sz w:val="20"/>
          <w:szCs w:val="20"/>
        </w:rPr>
        <w:t xml:space="preserve">tato </w:t>
      </w:r>
      <w:r w:rsidR="009A78E7">
        <w:rPr>
          <w:rFonts w:ascii="Arial" w:hAnsi="Arial" w:cs="Arial"/>
          <w:sz w:val="20"/>
          <w:szCs w:val="20"/>
        </w:rPr>
        <w:t>C</w:t>
      </w:r>
      <w:r>
        <w:rPr>
          <w:rFonts w:ascii="Arial" w:hAnsi="Arial" w:cs="Arial"/>
          <w:sz w:val="20"/>
          <w:szCs w:val="20"/>
        </w:rPr>
        <w:t>ivile in assenza di patti di trasferimento patrimoniale e di figli minori, di figli maggiorenni incapaci o portatori di handicap grave ai sensi dell'articolo 3, comma 3, della Legge 5 febbraio 1992, n. 104, ovvero economicamente non autosufficienti (ex art. 12).</w:t>
      </w:r>
    </w:p>
    <w:p w14:paraId="28D36D0A" w14:textId="1F160743" w:rsidR="00CC689B" w:rsidRPr="00CC3286" w:rsidRDefault="00CC689B" w:rsidP="001C4485">
      <w:pPr>
        <w:spacing w:after="120"/>
        <w:jc w:val="both"/>
        <w:rPr>
          <w:rFonts w:ascii="Arial" w:hAnsi="Arial" w:cs="Arial"/>
          <w:bCs/>
          <w:sz w:val="20"/>
          <w:szCs w:val="20"/>
        </w:rPr>
      </w:pPr>
      <w:r>
        <w:rPr>
          <w:rFonts w:ascii="Arial" w:hAnsi="Arial" w:cs="Arial"/>
          <w:b/>
          <w:bCs/>
          <w:noProof/>
          <w:color w:val="1F497D"/>
          <w:sz w:val="20"/>
          <w:szCs w:val="20"/>
        </w:rPr>
        <w:t>Separazione</w:t>
      </w:r>
      <w:r w:rsidR="00ED09F2">
        <w:rPr>
          <w:rFonts w:ascii="Arial" w:hAnsi="Arial" w:cs="Arial"/>
          <w:b/>
          <w:bCs/>
          <w:noProof/>
          <w:color w:val="1F497D"/>
          <w:sz w:val="20"/>
          <w:szCs w:val="20"/>
        </w:rPr>
        <w:t>/divorzio</w:t>
      </w:r>
      <w:r>
        <w:rPr>
          <w:rFonts w:ascii="Arial" w:hAnsi="Arial" w:cs="Arial"/>
          <w:b/>
          <w:bCs/>
          <w:noProof/>
          <w:color w:val="1F497D"/>
          <w:sz w:val="20"/>
          <w:szCs w:val="20"/>
        </w:rPr>
        <w:t xml:space="preserve"> giudiziale:</w:t>
      </w:r>
      <w:r>
        <w:rPr>
          <w:rFonts w:ascii="Arial" w:hAnsi="Arial" w:cs="Arial"/>
          <w:sz w:val="20"/>
          <w:szCs w:val="20"/>
        </w:rPr>
        <w:t xml:space="preserve"> vero e proprio procedimento contenzioso su istanza di uno dei due coniugi, successiva istruttoria e pronunciamento di una sentenza.</w:t>
      </w:r>
    </w:p>
    <w:p w14:paraId="2AA80B6C" w14:textId="31B8AF4F" w:rsidR="00345555" w:rsidRDefault="00345555" w:rsidP="001C4485">
      <w:pPr>
        <w:spacing w:after="120"/>
        <w:jc w:val="both"/>
        <w:outlineLvl w:val="2"/>
      </w:pPr>
      <w:r w:rsidRPr="00345555">
        <w:rPr>
          <w:rFonts w:ascii="Arial" w:hAnsi="Arial" w:cs="Arial"/>
          <w:b/>
          <w:bCs/>
          <w:noProof/>
          <w:color w:val="1F497D"/>
          <w:sz w:val="20"/>
          <w:szCs w:val="20"/>
        </w:rPr>
        <w:t>Stato civile:</w:t>
      </w:r>
      <w:r>
        <w:t xml:space="preserve"> </w:t>
      </w:r>
      <w:r w:rsidRPr="00345555">
        <w:rPr>
          <w:rFonts w:ascii="Arial" w:hAnsi="Arial" w:cs="Arial"/>
          <w:bCs/>
          <w:noProof/>
          <w:sz w:val="20"/>
          <w:szCs w:val="20"/>
        </w:rPr>
        <w:t xml:space="preserve">condizione di ogni cittadino nei confronti dello </w:t>
      </w:r>
      <w:r w:rsidR="008E50F9">
        <w:rPr>
          <w:rFonts w:ascii="Arial" w:hAnsi="Arial" w:cs="Arial"/>
          <w:bCs/>
          <w:noProof/>
          <w:sz w:val="20"/>
          <w:szCs w:val="20"/>
        </w:rPr>
        <w:t>S</w:t>
      </w:r>
      <w:r w:rsidRPr="00345555">
        <w:rPr>
          <w:rFonts w:ascii="Arial" w:hAnsi="Arial" w:cs="Arial"/>
          <w:bCs/>
          <w:noProof/>
          <w:sz w:val="20"/>
          <w:szCs w:val="20"/>
        </w:rPr>
        <w:t>tato per quanto attiene al matrimonio o all'unione civile. Si definisce celibe o nubile il cittadino rispettivamente di sesso maschile o femminile che non ha mai contratto matrimonio o unione civile; coniugato/a il cittadino sposato che non ha ottenuto lo scioglimento o la cessazione degli effetti civili del matrimonio; divorziato/a il cittadino coniugato che ha ottenuto lo scioglimento o la cessazione degli effetti civili del matrimonio; vedovo/a il cittadino il cui matrimonio è cessato per decesso del coniuge; unito/a civilmente il cittadino unito che non ha ottenuto lo scioglimento dell’unione civile; già unito/a civilmente (per scioglimento dell’unione) il cittadino unito che ha ottenuto lo scioglimento dell’unione civile; già unito/a civilmente (per decesso del partner) il cittadino la cui unione è cessata per decesso del partner.</w:t>
      </w:r>
      <w:r>
        <w:t xml:space="preserve"> </w:t>
      </w:r>
    </w:p>
    <w:p w14:paraId="0BCAEB01" w14:textId="411A048A" w:rsidR="00345555" w:rsidRDefault="00345555" w:rsidP="001C4485">
      <w:pPr>
        <w:spacing w:after="120"/>
        <w:jc w:val="both"/>
        <w:outlineLvl w:val="2"/>
        <w:rPr>
          <w:rFonts w:ascii="Arial" w:hAnsi="Arial" w:cs="Arial"/>
          <w:bCs/>
          <w:noProof/>
          <w:sz w:val="20"/>
          <w:szCs w:val="20"/>
        </w:rPr>
      </w:pPr>
      <w:r w:rsidRPr="00345555">
        <w:rPr>
          <w:rFonts w:ascii="Arial" w:hAnsi="Arial" w:cs="Arial"/>
          <w:b/>
          <w:bCs/>
          <w:noProof/>
          <w:color w:val="1F497D"/>
          <w:sz w:val="20"/>
          <w:szCs w:val="20"/>
        </w:rPr>
        <w:t>Unioni civili:</w:t>
      </w:r>
      <w:r>
        <w:t xml:space="preserve"> </w:t>
      </w:r>
      <w:r w:rsidRPr="00345555">
        <w:rPr>
          <w:rFonts w:ascii="Arial" w:hAnsi="Arial" w:cs="Arial"/>
          <w:bCs/>
          <w:noProof/>
          <w:sz w:val="20"/>
          <w:szCs w:val="20"/>
        </w:rPr>
        <w:t xml:space="preserve">con l’emanazione della </w:t>
      </w:r>
      <w:r w:rsidR="003E32B7">
        <w:rPr>
          <w:rFonts w:ascii="Arial" w:hAnsi="Arial" w:cs="Arial"/>
          <w:bCs/>
          <w:noProof/>
          <w:sz w:val="20"/>
          <w:szCs w:val="20"/>
        </w:rPr>
        <w:t>L</w:t>
      </w:r>
      <w:r w:rsidRPr="00345555">
        <w:rPr>
          <w:rFonts w:ascii="Arial" w:hAnsi="Arial" w:cs="Arial"/>
          <w:bCs/>
          <w:noProof/>
          <w:sz w:val="20"/>
          <w:szCs w:val="20"/>
        </w:rPr>
        <w:t>egge 20 maggio 2016, n. 76 sulla “Regolamentazione delle unioni civili tra persone dello stesso sesso e disciplina delle convivenze”, è stata introdotta in Italia l’istituzione di unioni tra persone dello stesso sesso e delle convivenze di fatto.</w:t>
      </w:r>
    </w:p>
    <w:p w14:paraId="02A644C2" w14:textId="77777777" w:rsidR="00490A29" w:rsidRPr="000C4223" w:rsidRDefault="00490A29" w:rsidP="001C4485">
      <w:pPr>
        <w:spacing w:after="120"/>
        <w:jc w:val="both"/>
        <w:outlineLvl w:val="2"/>
        <w:rPr>
          <w:rFonts w:ascii="Arial" w:hAnsi="Arial" w:cs="Arial"/>
          <w:bCs/>
          <w:noProof/>
          <w:sz w:val="20"/>
          <w:szCs w:val="20"/>
        </w:rPr>
      </w:pPr>
      <w:r w:rsidRPr="00490A29">
        <w:rPr>
          <w:rFonts w:ascii="Arial" w:hAnsi="Arial" w:cs="Arial"/>
          <w:b/>
          <w:bCs/>
          <w:noProof/>
          <w:color w:val="1F497D"/>
          <w:sz w:val="20"/>
          <w:szCs w:val="20"/>
        </w:rPr>
        <w:t xml:space="preserve">Variazione assoluta: </w:t>
      </w:r>
      <w:r w:rsidRPr="000C4223">
        <w:rPr>
          <w:rFonts w:ascii="Arial" w:hAnsi="Arial" w:cs="Arial"/>
          <w:bCs/>
          <w:noProof/>
          <w:sz w:val="20"/>
          <w:szCs w:val="20"/>
        </w:rPr>
        <w:t>differenza fra l’ammontare di un fenomeno alla fine del periodo considerato e quello all’inizio.</w:t>
      </w:r>
    </w:p>
    <w:p w14:paraId="3FA86D37" w14:textId="77777777" w:rsidR="00490A29" w:rsidRPr="000C4223" w:rsidRDefault="00490A29" w:rsidP="001C4485">
      <w:pPr>
        <w:spacing w:after="120"/>
        <w:jc w:val="both"/>
        <w:outlineLvl w:val="2"/>
        <w:rPr>
          <w:rFonts w:ascii="Arial" w:hAnsi="Arial" w:cs="Arial"/>
          <w:bCs/>
          <w:noProof/>
          <w:sz w:val="20"/>
          <w:szCs w:val="20"/>
        </w:rPr>
      </w:pPr>
      <w:r w:rsidRPr="00490A29">
        <w:rPr>
          <w:rFonts w:ascii="Arial" w:hAnsi="Arial" w:cs="Arial"/>
          <w:b/>
          <w:bCs/>
          <w:noProof/>
          <w:color w:val="1F497D"/>
          <w:sz w:val="20"/>
          <w:szCs w:val="20"/>
        </w:rPr>
        <w:t xml:space="preserve">Variazione percentuale media annua (o tasso medio annuo di variazione): </w:t>
      </w:r>
      <w:r w:rsidRPr="000C4223">
        <w:rPr>
          <w:rFonts w:ascii="Arial" w:hAnsi="Arial" w:cs="Arial"/>
          <w:bCs/>
          <w:noProof/>
          <w:sz w:val="20"/>
          <w:szCs w:val="20"/>
        </w:rPr>
        <w:t>si ottiene dividendo la variazione percentuale, riferita ad un intervallo temporale pluriennale, per il numero di anni dell’intervallo.</w:t>
      </w:r>
    </w:p>
    <w:p w14:paraId="55FE6C9D" w14:textId="4693463B" w:rsidR="008E5E16" w:rsidRPr="00562900" w:rsidRDefault="00490A29" w:rsidP="001C4485">
      <w:pPr>
        <w:spacing w:after="120"/>
        <w:jc w:val="both"/>
        <w:outlineLvl w:val="2"/>
        <w:rPr>
          <w:rFonts w:ascii="Arial" w:hAnsi="Arial" w:cs="Arial"/>
          <w:bCs/>
          <w:noProof/>
          <w:sz w:val="20"/>
          <w:szCs w:val="20"/>
        </w:rPr>
      </w:pPr>
      <w:r w:rsidRPr="00490A29">
        <w:rPr>
          <w:rFonts w:ascii="Arial" w:hAnsi="Arial" w:cs="Arial"/>
          <w:b/>
          <w:bCs/>
          <w:noProof/>
          <w:color w:val="1F497D"/>
          <w:sz w:val="20"/>
          <w:szCs w:val="20"/>
        </w:rPr>
        <w:t xml:space="preserve">Variazione percentuale: </w:t>
      </w:r>
      <w:r w:rsidRPr="000C4223">
        <w:rPr>
          <w:rFonts w:ascii="Arial" w:hAnsi="Arial" w:cs="Arial"/>
          <w:bCs/>
          <w:noProof/>
          <w:sz w:val="20"/>
          <w:szCs w:val="20"/>
        </w:rPr>
        <w:t xml:space="preserve">rapporto tra la variazione assoluta e l’ammontare iniziale. Viene poi moltiplicato </w:t>
      </w:r>
      <w:r w:rsidR="00C231D7">
        <w:rPr>
          <w:rFonts w:ascii="Arial" w:hAnsi="Arial" w:cs="Arial"/>
          <w:bCs/>
          <w:noProof/>
          <w:sz w:val="20"/>
          <w:szCs w:val="20"/>
        </w:rPr>
        <w:br/>
      </w:r>
      <w:r w:rsidRPr="000C4223">
        <w:rPr>
          <w:rFonts w:ascii="Arial" w:hAnsi="Arial" w:cs="Arial"/>
          <w:bCs/>
          <w:noProof/>
          <w:sz w:val="20"/>
          <w:szCs w:val="20"/>
        </w:rPr>
        <w:t>per 100.</w:t>
      </w:r>
    </w:p>
    <w:p w14:paraId="4FE03219" w14:textId="77777777" w:rsidR="00A032FE" w:rsidRDefault="00A032FE" w:rsidP="001C4485">
      <w:pPr>
        <w:pStyle w:val="Titolo3"/>
        <w:spacing w:before="0" w:beforeAutospacing="0" w:after="120" w:afterAutospacing="0"/>
        <w:rPr>
          <w:rFonts w:ascii="Georgia" w:hAnsi="Georgia" w:cs="Arial"/>
          <w:b w:val="0"/>
          <w:color w:val="1F497D" w:themeColor="text2"/>
          <w:sz w:val="48"/>
          <w:szCs w:val="48"/>
        </w:rPr>
      </w:pPr>
    </w:p>
    <w:p w14:paraId="00B0835E" w14:textId="7D9ECB0A" w:rsidR="00CC689B" w:rsidRDefault="00CC689B" w:rsidP="001C4485">
      <w:pPr>
        <w:pStyle w:val="Titolo3"/>
        <w:spacing w:before="0" w:beforeAutospacing="0" w:after="120" w:afterAutospacing="0"/>
        <w:rPr>
          <w:rFonts w:ascii="Georgia" w:hAnsi="Georgia" w:cs="Arial"/>
          <w:b w:val="0"/>
          <w:color w:val="1F497D" w:themeColor="text2"/>
          <w:sz w:val="48"/>
          <w:szCs w:val="48"/>
        </w:rPr>
      </w:pPr>
      <w:r>
        <w:rPr>
          <w:rFonts w:ascii="Georgia" w:hAnsi="Georgia" w:cs="Arial"/>
          <w:b w:val="0"/>
          <w:color w:val="1F497D" w:themeColor="text2"/>
          <w:sz w:val="48"/>
          <w:szCs w:val="48"/>
        </w:rPr>
        <w:t>Nota metodologica</w:t>
      </w:r>
    </w:p>
    <w:p w14:paraId="0EAC5E3B" w14:textId="77777777" w:rsidR="00CC689B" w:rsidRPr="000810FD" w:rsidRDefault="00CC689B" w:rsidP="001C4485">
      <w:pPr>
        <w:spacing w:after="120"/>
        <w:jc w:val="both"/>
        <w:rPr>
          <w:rFonts w:ascii="Arial" w:hAnsi="Arial" w:cs="Arial"/>
          <w:b/>
          <w:bCs/>
          <w:color w:val="1F497D" w:themeColor="text2"/>
        </w:rPr>
      </w:pPr>
      <w:r w:rsidRPr="000810FD">
        <w:rPr>
          <w:rFonts w:ascii="Arial" w:hAnsi="Arial" w:cs="Arial"/>
          <w:b/>
          <w:bCs/>
          <w:color w:val="1F497D" w:themeColor="text2"/>
        </w:rPr>
        <w:t>La rilevazione dei matrimoni</w:t>
      </w:r>
    </w:p>
    <w:p w14:paraId="05A7AFF1" w14:textId="77777777" w:rsidR="00CC689B" w:rsidRPr="00574FC2" w:rsidRDefault="00CC689B" w:rsidP="001C4485">
      <w:pPr>
        <w:spacing w:after="120"/>
        <w:jc w:val="both"/>
        <w:rPr>
          <w:rFonts w:ascii="Arial" w:hAnsi="Arial" w:cs="Arial"/>
          <w:b/>
          <w:bCs/>
          <w:color w:val="1F497D" w:themeColor="text2"/>
          <w:sz w:val="22"/>
          <w:szCs w:val="22"/>
        </w:rPr>
      </w:pPr>
      <w:r w:rsidRPr="00574FC2">
        <w:rPr>
          <w:rFonts w:ascii="Arial" w:hAnsi="Arial" w:cs="Arial"/>
          <w:b/>
          <w:bCs/>
          <w:color w:val="1F497D" w:themeColor="text2"/>
          <w:sz w:val="22"/>
          <w:szCs w:val="22"/>
        </w:rPr>
        <w:t>Obiettivi conoscitivi e quadro di riferimento</w:t>
      </w:r>
    </w:p>
    <w:p w14:paraId="0D155981" w14:textId="77777777" w:rsidR="00CC689B" w:rsidRDefault="00CC689B" w:rsidP="001C4485">
      <w:pPr>
        <w:spacing w:after="120"/>
        <w:jc w:val="both"/>
        <w:rPr>
          <w:rFonts w:ascii="Arial" w:hAnsi="Arial" w:cs="Arial"/>
          <w:bCs/>
          <w:sz w:val="20"/>
          <w:szCs w:val="20"/>
        </w:rPr>
      </w:pPr>
      <w:r>
        <w:rPr>
          <w:rFonts w:ascii="Arial" w:hAnsi="Arial" w:cs="Arial"/>
          <w:bCs/>
          <w:sz w:val="20"/>
          <w:szCs w:val="20"/>
        </w:rPr>
        <w:t xml:space="preserve">La rilevazione sui matrimoni di fonte Stato Civile è stata istituita dall'Istat nel 1926. L'indagine, individuale ed esaustiva, ha per oggetto tutti i matrimoni della popolazione presente e consente di analizzare il fenomeno della nuzialità, per ordine di matrimonio, in relazione alle principali caratteristiche socio-demografiche degli sposi. </w:t>
      </w:r>
    </w:p>
    <w:p w14:paraId="07175464" w14:textId="77777777" w:rsidR="00CC689B" w:rsidRDefault="00CC689B" w:rsidP="001C4485">
      <w:pPr>
        <w:spacing w:after="120"/>
        <w:jc w:val="both"/>
        <w:rPr>
          <w:rFonts w:ascii="Arial" w:hAnsi="Arial" w:cs="Arial"/>
          <w:bCs/>
          <w:sz w:val="20"/>
          <w:szCs w:val="20"/>
        </w:rPr>
      </w:pPr>
      <w:r>
        <w:rPr>
          <w:rFonts w:ascii="Arial" w:hAnsi="Arial" w:cs="Arial"/>
          <w:bCs/>
          <w:sz w:val="20"/>
          <w:szCs w:val="20"/>
        </w:rPr>
        <w:t>La rilevazione ha per oggetto tutti i matrimoni religiosi concordatari e i matrimoni civili celebrati in Italia. I dati sui matrimoni sono raccolti dall’Istat al momento della formazione dell’Atto di matrimonio, secondo quanto disposto dal Regolamento di Stato Civile. L’Istat rileva sia mensilmente il totale dei matrimoni distinti in religiosi e civili celebrati in ciascun Comune, sia i dati individuali sul matrimonio e sugli sposi relativi a ogni singolo evento.</w:t>
      </w:r>
    </w:p>
    <w:p w14:paraId="250D23BC" w14:textId="65D7ADE5" w:rsidR="00CC689B" w:rsidRDefault="00CC689B" w:rsidP="001C4485">
      <w:pPr>
        <w:spacing w:after="120"/>
        <w:jc w:val="both"/>
        <w:rPr>
          <w:rFonts w:ascii="Arial" w:hAnsi="Arial" w:cs="Arial"/>
          <w:bCs/>
          <w:sz w:val="20"/>
          <w:szCs w:val="20"/>
        </w:rPr>
      </w:pPr>
      <w:r>
        <w:rPr>
          <w:rFonts w:ascii="Arial" w:hAnsi="Arial" w:cs="Arial"/>
          <w:bCs/>
          <w:sz w:val="20"/>
          <w:szCs w:val="20"/>
        </w:rPr>
        <w:t xml:space="preserve">Tra i principali indicatori prodotti, particolare rilievo hanno le misure sintetiche di intensità e cadenza della </w:t>
      </w:r>
      <w:r w:rsidR="00C231D7">
        <w:rPr>
          <w:rFonts w:ascii="Arial" w:hAnsi="Arial" w:cs="Arial"/>
          <w:bCs/>
          <w:sz w:val="20"/>
          <w:szCs w:val="20"/>
        </w:rPr>
        <w:br/>
      </w:r>
      <w:r>
        <w:rPr>
          <w:rFonts w:ascii="Arial" w:hAnsi="Arial" w:cs="Arial"/>
          <w:bCs/>
          <w:sz w:val="20"/>
          <w:szCs w:val="20"/>
        </w:rPr>
        <w:t>primo-nuzialità, che consentono di analizzare l’evoluzione e la geografia dei comportamenti degli uomini e delle donne rispetto alla formazione delle unioni coniugali.</w:t>
      </w:r>
    </w:p>
    <w:p w14:paraId="0420A341" w14:textId="60997B63" w:rsidR="00CC689B" w:rsidRDefault="00CC689B" w:rsidP="001C4485">
      <w:pPr>
        <w:tabs>
          <w:tab w:val="left" w:pos="7826"/>
        </w:tabs>
        <w:spacing w:after="120"/>
        <w:jc w:val="both"/>
        <w:rPr>
          <w:rFonts w:ascii="Arial" w:hAnsi="Arial" w:cs="Arial"/>
          <w:bCs/>
          <w:sz w:val="20"/>
          <w:szCs w:val="20"/>
        </w:rPr>
      </w:pPr>
      <w:r>
        <w:rPr>
          <w:rFonts w:ascii="Arial" w:hAnsi="Arial" w:cs="Arial"/>
          <w:bCs/>
          <w:sz w:val="20"/>
          <w:szCs w:val="20"/>
        </w:rPr>
        <w:t>La rilevazione è inserita nel Programma Statistico Nazionale (codice IST-00119).</w:t>
      </w:r>
    </w:p>
    <w:p w14:paraId="73239611" w14:textId="173B49B1" w:rsidR="00CC689B" w:rsidRDefault="00CC689B" w:rsidP="001C4485">
      <w:pPr>
        <w:spacing w:after="120"/>
        <w:jc w:val="both"/>
        <w:rPr>
          <w:rFonts w:ascii="Arial" w:hAnsi="Arial" w:cs="Arial"/>
          <w:bCs/>
          <w:sz w:val="20"/>
          <w:szCs w:val="20"/>
        </w:rPr>
      </w:pPr>
      <w:r>
        <w:rPr>
          <w:rFonts w:ascii="Arial" w:hAnsi="Arial" w:cs="Arial"/>
          <w:bCs/>
          <w:sz w:val="20"/>
          <w:szCs w:val="20"/>
        </w:rPr>
        <w:t xml:space="preserve">La rilevazione dei dati si basa sul modello Istat D.3 compilato dall’Ufficiale di Stato Civile, o da suo delegato, del Comune nel quale il matrimonio è stato celebrato (secondo quanto previsto dal </w:t>
      </w:r>
      <w:r w:rsidR="00544812">
        <w:rPr>
          <w:rFonts w:ascii="Arial" w:hAnsi="Arial" w:cs="Arial"/>
          <w:bCs/>
          <w:sz w:val="20"/>
          <w:szCs w:val="20"/>
        </w:rPr>
        <w:t>R</w:t>
      </w:r>
      <w:r>
        <w:rPr>
          <w:rFonts w:ascii="Arial" w:hAnsi="Arial" w:cs="Arial"/>
          <w:bCs/>
          <w:sz w:val="20"/>
          <w:szCs w:val="20"/>
        </w:rPr>
        <w:t xml:space="preserve">egolamento dello Stato Civile contenuto nel D.P.R. 3 novembre 2000, n. 396). </w:t>
      </w:r>
    </w:p>
    <w:p w14:paraId="3740FB22" w14:textId="77777777" w:rsidR="00CC689B" w:rsidRDefault="00CC689B" w:rsidP="001C4485">
      <w:pPr>
        <w:spacing w:after="120"/>
        <w:jc w:val="both"/>
        <w:rPr>
          <w:rFonts w:ascii="Arial" w:hAnsi="Arial" w:cs="Arial"/>
          <w:bCs/>
          <w:sz w:val="20"/>
          <w:szCs w:val="20"/>
        </w:rPr>
      </w:pPr>
      <w:r>
        <w:rPr>
          <w:rFonts w:ascii="Arial" w:hAnsi="Arial" w:cs="Arial"/>
          <w:bCs/>
          <w:sz w:val="20"/>
          <w:szCs w:val="20"/>
        </w:rPr>
        <w:t>Il modello è diviso in due parti: notizie sul matrimonio e notizie sugli sposi. Per ciascun evento, nella sezione dedicata al matrimonio si rilevano: la data, il rito di celebrazione (religioso o civile), il comune di celebrazione e il regime patrimoniale scelto dagli sposi (comunione o separazione dei beni). Le notizie rilevate per ciascun sposo riguardano: la data di nascita, il Comune di nascita, il Comune di residenza al momento del matrimonio, il luogo di residenza futura degli sposi (Comune o stato estero), lo stato civile precedente, il grado di istruzione, la condizione professionale, la posizione nella professione, il ramo di attività economica, la cittadinanza. Le modifiche più recenti al modello sono state effettuate nel 1995, con l’inserimento della variabile sul regime patrimoniale e nel 1997 con il perfezionamento dell’informazione sulla cittadinanza, chiedendo di specificare, quando italiana, se “per nascita” o “acquisita”.</w:t>
      </w:r>
    </w:p>
    <w:p w14:paraId="52EF0744" w14:textId="02A436E0" w:rsidR="00CC689B" w:rsidRDefault="00CC689B" w:rsidP="001C4485">
      <w:pPr>
        <w:spacing w:after="120"/>
        <w:jc w:val="both"/>
        <w:rPr>
          <w:rFonts w:ascii="Arial" w:hAnsi="Arial" w:cs="Arial"/>
          <w:bCs/>
          <w:sz w:val="20"/>
          <w:szCs w:val="20"/>
        </w:rPr>
      </w:pPr>
      <w:r>
        <w:rPr>
          <w:rFonts w:ascii="Arial" w:hAnsi="Arial" w:cs="Arial"/>
          <w:bCs/>
          <w:sz w:val="20"/>
          <w:szCs w:val="20"/>
        </w:rPr>
        <w:t xml:space="preserve">Le principali informazioni statistiche vengono rilasciate con sempre maggiore tempestività rispetto alla data di riferimento degli eventi. A tale scopo vengono, inoltre, elaborate le informazioni contenute nel modello D.7.A. (Rilevazione degli eventi demografici di Stato Civile) che forniscono, mensilmente e per comune di evento, il numero di matrimoni religiosi e civili (dati provvisori, soggetti a rettifica nel momento in cui si rendono disponibili i dati delle rilevazioni individuali). </w:t>
      </w:r>
    </w:p>
    <w:p w14:paraId="2C7AAB2E" w14:textId="77777777" w:rsidR="00CC689B" w:rsidRDefault="00CC689B"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Processo e metodologie</w:t>
      </w:r>
    </w:p>
    <w:p w14:paraId="7905C366" w14:textId="77777777" w:rsidR="00CC689B" w:rsidRDefault="00CC689B" w:rsidP="001C4485">
      <w:pPr>
        <w:spacing w:after="120"/>
        <w:jc w:val="both"/>
        <w:rPr>
          <w:rFonts w:ascii="Arial" w:hAnsi="Arial" w:cs="Arial"/>
          <w:bCs/>
          <w:sz w:val="20"/>
          <w:szCs w:val="20"/>
        </w:rPr>
      </w:pPr>
      <w:r>
        <w:rPr>
          <w:rFonts w:ascii="Arial" w:hAnsi="Arial" w:cs="Arial"/>
          <w:bCs/>
          <w:sz w:val="20"/>
          <w:szCs w:val="20"/>
        </w:rPr>
        <w:t>Si tratta di una rilevazione a carattere continuo anche se, ai fini di razionalizzare i flussi, la raccolta dei dati viene cadenzata mensilmente e i dati analizzati, rilasciati e diffusi annualmente.</w:t>
      </w:r>
    </w:p>
    <w:p w14:paraId="6D260907" w14:textId="0A0105F4" w:rsidR="00CC689B" w:rsidRDefault="00CC689B" w:rsidP="001C4485">
      <w:pPr>
        <w:spacing w:after="120"/>
        <w:jc w:val="both"/>
        <w:rPr>
          <w:rFonts w:ascii="Arial" w:hAnsi="Arial" w:cs="Arial"/>
          <w:bCs/>
          <w:sz w:val="20"/>
          <w:szCs w:val="20"/>
        </w:rPr>
      </w:pPr>
      <w:r>
        <w:rPr>
          <w:rFonts w:ascii="Arial" w:hAnsi="Arial" w:cs="Arial"/>
          <w:bCs/>
          <w:sz w:val="20"/>
          <w:szCs w:val="20"/>
        </w:rPr>
        <w:t xml:space="preserve">L’assetto delle attuali rilevazioni sui matrimoni (riepilogativa mensile e individuale continua) si è solo parzialmente trasformato rispetto al passato; </w:t>
      </w:r>
      <w:r w:rsidR="005E6EFE">
        <w:rPr>
          <w:rFonts w:ascii="Arial" w:hAnsi="Arial" w:cs="Arial"/>
          <w:bCs/>
          <w:sz w:val="20"/>
          <w:szCs w:val="20"/>
        </w:rPr>
        <w:t>i</w:t>
      </w:r>
      <w:r>
        <w:rPr>
          <w:rFonts w:ascii="Arial" w:hAnsi="Arial" w:cs="Arial"/>
          <w:bCs/>
          <w:sz w:val="20"/>
          <w:szCs w:val="20"/>
        </w:rPr>
        <w:t xml:space="preserve"> contenuti si sono ampliati e le modalità di trasmissione sono mutate. </w:t>
      </w:r>
    </w:p>
    <w:p w14:paraId="67353DD0" w14:textId="44C6013D" w:rsidR="00CC689B" w:rsidRDefault="00CC689B" w:rsidP="001C4485">
      <w:pPr>
        <w:spacing w:after="120"/>
        <w:jc w:val="both"/>
        <w:rPr>
          <w:rFonts w:ascii="Arial" w:hAnsi="Arial" w:cs="Arial"/>
          <w:bCs/>
          <w:sz w:val="20"/>
          <w:szCs w:val="20"/>
        </w:rPr>
      </w:pPr>
      <w:r>
        <w:rPr>
          <w:rFonts w:ascii="Arial" w:hAnsi="Arial" w:cs="Arial"/>
          <w:bCs/>
          <w:sz w:val="20"/>
          <w:szCs w:val="20"/>
        </w:rPr>
        <w:t>A partire dall’anno di rilevazione 2018, la compilazione, acquisizione e trasmissione dei modelli avviene esclusivamente per via telema</w:t>
      </w:r>
      <w:r w:rsidR="006B0836">
        <w:rPr>
          <w:rFonts w:ascii="Arial" w:hAnsi="Arial" w:cs="Arial"/>
          <w:bCs/>
          <w:sz w:val="20"/>
          <w:szCs w:val="20"/>
        </w:rPr>
        <w:t xml:space="preserve">tica a cura degli Ufficiali di </w:t>
      </w:r>
      <w:r w:rsidR="005C35E9">
        <w:rPr>
          <w:rFonts w:ascii="Arial" w:hAnsi="Arial" w:cs="Arial"/>
          <w:bCs/>
          <w:sz w:val="20"/>
          <w:szCs w:val="20"/>
        </w:rPr>
        <w:t>S</w:t>
      </w:r>
      <w:r>
        <w:rPr>
          <w:rFonts w:ascii="Arial" w:hAnsi="Arial" w:cs="Arial"/>
          <w:bCs/>
          <w:sz w:val="20"/>
          <w:szCs w:val="20"/>
        </w:rPr>
        <w:t xml:space="preserve">tato </w:t>
      </w:r>
      <w:r w:rsidR="005C35E9">
        <w:rPr>
          <w:rFonts w:ascii="Arial" w:hAnsi="Arial" w:cs="Arial"/>
          <w:bCs/>
          <w:sz w:val="20"/>
          <w:szCs w:val="20"/>
        </w:rPr>
        <w:t>C</w:t>
      </w:r>
      <w:r>
        <w:rPr>
          <w:rFonts w:ascii="Arial" w:hAnsi="Arial" w:cs="Arial"/>
          <w:bCs/>
          <w:sz w:val="20"/>
          <w:szCs w:val="20"/>
        </w:rPr>
        <w:t>ivile, attraverso un’utenza personalizzata collegandosi alla piattaforma creata ad hoc dall’Istat per le “Indagini demografiche di Stato Civile” e disponibile al link:</w:t>
      </w:r>
      <w:r w:rsidR="005C35E9">
        <w:rPr>
          <w:rFonts w:ascii="Arial" w:hAnsi="Arial" w:cs="Arial"/>
          <w:bCs/>
          <w:sz w:val="20"/>
          <w:szCs w:val="20"/>
        </w:rPr>
        <w:t xml:space="preserve"> </w:t>
      </w:r>
      <w:hyperlink r:id="rId30" w:history="1">
        <w:r>
          <w:rPr>
            <w:rStyle w:val="Collegamentoipertestuale"/>
            <w:rFonts w:ascii="Arial" w:hAnsi="Arial" w:cs="Arial"/>
            <w:bCs/>
            <w:sz w:val="20"/>
            <w:szCs w:val="20"/>
          </w:rPr>
          <w:t>https://gino.istat.it/statocivile/</w:t>
        </w:r>
      </w:hyperlink>
      <w:r>
        <w:rPr>
          <w:rFonts w:ascii="Arial" w:hAnsi="Arial" w:cs="Arial"/>
          <w:bCs/>
          <w:sz w:val="20"/>
          <w:szCs w:val="20"/>
        </w:rPr>
        <w:t xml:space="preserve">; precedentemente i dati venivano trasmessi tramite il sistema di raccolta telematica dei dati demografici ISI-Istatel, predisposto dall’Istat in collaborazione con </w:t>
      </w:r>
      <w:r>
        <w:rPr>
          <w:rFonts w:ascii="Arial" w:hAnsi="Arial" w:cs="Arial"/>
          <w:sz w:val="20"/>
          <w:szCs w:val="20"/>
        </w:rPr>
        <w:t>ANCI-Ancitel</w:t>
      </w:r>
      <w:r>
        <w:rPr>
          <w:rFonts w:ascii="Arial" w:hAnsi="Arial" w:cs="Arial"/>
          <w:bCs/>
          <w:sz w:val="20"/>
          <w:szCs w:val="20"/>
        </w:rPr>
        <w:t xml:space="preserve">. </w:t>
      </w:r>
    </w:p>
    <w:p w14:paraId="0091408A" w14:textId="77777777" w:rsidR="00CC689B" w:rsidRDefault="00CC689B" w:rsidP="001C4485">
      <w:pPr>
        <w:spacing w:after="120"/>
        <w:jc w:val="both"/>
        <w:rPr>
          <w:rFonts w:ascii="Arial" w:hAnsi="Arial" w:cs="Arial"/>
          <w:bCs/>
          <w:sz w:val="20"/>
          <w:szCs w:val="20"/>
        </w:rPr>
      </w:pPr>
      <w:r>
        <w:rPr>
          <w:rFonts w:ascii="Arial" w:hAnsi="Arial" w:cs="Arial"/>
          <w:bCs/>
          <w:sz w:val="20"/>
          <w:szCs w:val="20"/>
        </w:rPr>
        <w:t>Il controllo della copertura dei dati avviene considerando sia la rilevazione riepilogativa mensile sia la serie storica degli eventi per ciascun Comune. La correzione delle mancate risposte totali e parziali avviene con metodi misti: deterministici nel caso di errori sistematici e probabilistici nel caso di errori stocastici.</w:t>
      </w:r>
    </w:p>
    <w:p w14:paraId="3A2618E8" w14:textId="0D9A8EE8" w:rsidR="00E32DF1" w:rsidRDefault="00CC689B" w:rsidP="001C4485">
      <w:pPr>
        <w:spacing w:after="120"/>
        <w:jc w:val="both"/>
        <w:rPr>
          <w:rFonts w:ascii="Arial" w:hAnsi="Arial" w:cs="Arial"/>
          <w:bCs/>
          <w:sz w:val="20"/>
          <w:szCs w:val="20"/>
        </w:rPr>
      </w:pPr>
      <w:r>
        <w:rPr>
          <w:rFonts w:ascii="Arial" w:hAnsi="Arial" w:cs="Arial"/>
          <w:bCs/>
          <w:sz w:val="20"/>
          <w:szCs w:val="20"/>
        </w:rPr>
        <w:t xml:space="preserve">In occasione del rilascio dei dati 2018 </w:t>
      </w:r>
      <w:r w:rsidR="005E6EFE">
        <w:rPr>
          <w:rFonts w:ascii="Arial" w:hAnsi="Arial" w:cs="Arial"/>
          <w:bCs/>
          <w:sz w:val="20"/>
          <w:szCs w:val="20"/>
        </w:rPr>
        <w:t>è stata</w:t>
      </w:r>
      <w:r>
        <w:rPr>
          <w:rFonts w:ascii="Arial" w:hAnsi="Arial" w:cs="Arial"/>
          <w:bCs/>
          <w:sz w:val="20"/>
          <w:szCs w:val="20"/>
        </w:rPr>
        <w:t xml:space="preserve"> diffusa la nuova serie ricostruita dei dati relativi ai matrimoni con almeno uno sposo straniero dal 2013. Grazie, infatti, all’acquisizione dei dati tramite la nuova piattaforma è notevolmente migliorata la qualità dei dati acquisiti a livello </w:t>
      </w:r>
      <w:r w:rsidR="005E6EFE">
        <w:rPr>
          <w:rFonts w:ascii="Arial" w:hAnsi="Arial" w:cs="Arial"/>
          <w:bCs/>
          <w:sz w:val="20"/>
          <w:szCs w:val="20"/>
        </w:rPr>
        <w:t xml:space="preserve">sia </w:t>
      </w:r>
      <w:r>
        <w:rPr>
          <w:rFonts w:ascii="Arial" w:hAnsi="Arial" w:cs="Arial"/>
          <w:bCs/>
          <w:sz w:val="20"/>
          <w:szCs w:val="20"/>
        </w:rPr>
        <w:t xml:space="preserve">di coerenza interna sia di completezza. </w:t>
      </w:r>
    </w:p>
    <w:p w14:paraId="5A5B37F6" w14:textId="1915BA18" w:rsidR="006B3D0E" w:rsidRDefault="006B3D0E" w:rsidP="006B3D0E">
      <w:pPr>
        <w:spacing w:after="120"/>
        <w:jc w:val="both"/>
        <w:rPr>
          <w:rFonts w:ascii="Arial" w:hAnsi="Arial" w:cs="Arial"/>
          <w:bCs/>
          <w:sz w:val="20"/>
          <w:szCs w:val="20"/>
        </w:rPr>
      </w:pPr>
      <w:r w:rsidRPr="006B3D0E">
        <w:rPr>
          <w:rFonts w:ascii="Arial" w:hAnsi="Arial" w:cs="Arial"/>
          <w:bCs/>
          <w:sz w:val="20"/>
          <w:szCs w:val="20"/>
        </w:rPr>
        <w:t>L'informazione sulla cittadinanza italiana - con il dettaglio se dalla nascita o acquisita - è stata nel 2021 per la prima volta validata anche ricorrendo all'integrazione con le stime delle acquisizioni di cittadinanza. Per produrre tali stime, a partire dai dati riferiti al 2021, sono stati utilizzati sia i dati del Ministero relativi alle concessioni di cittadinanza e ai giuramenti, sia i dati dell’Istat relativi al registro base degli individui che vengono poi integrati con dati provenienti anche da altri dataset lavorati dall’Istituto di Statistica. La stima dei nuovi cittadini è ottenuta integrando i dati del Censimento 2011 e successivi con gli archivi anagrafici e</w:t>
      </w:r>
      <w:r>
        <w:rPr>
          <w:rFonts w:ascii="Arial" w:hAnsi="Arial" w:cs="Arial"/>
          <w:bCs/>
          <w:sz w:val="20"/>
          <w:szCs w:val="20"/>
        </w:rPr>
        <w:t xml:space="preserve"> </w:t>
      </w:r>
      <w:r w:rsidRPr="006B3D0E">
        <w:rPr>
          <w:rFonts w:ascii="Arial" w:hAnsi="Arial" w:cs="Arial"/>
          <w:bCs/>
          <w:sz w:val="20"/>
          <w:szCs w:val="20"/>
        </w:rPr>
        <w:t>con i dataset sulle acquisizioni di cittadinanza del Ministero dell’Interno.</w:t>
      </w:r>
    </w:p>
    <w:p w14:paraId="0B9A1725" w14:textId="7CE1C3E6" w:rsidR="00CC689B" w:rsidRDefault="00CC689B"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Classificazioni e fonti complementari</w:t>
      </w:r>
    </w:p>
    <w:p w14:paraId="24E0494B" w14:textId="77777777"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Nella rilevazione vengono utilizzate principalmente due classificazioni Istat:</w:t>
      </w:r>
    </w:p>
    <w:p w14:paraId="4B68920B" w14:textId="77777777"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 xml:space="preserve">La classificazione dei codici comunali (codici Istat a 6 cifre con codice provincia e codice comune): </w:t>
      </w:r>
      <w:hyperlink r:id="rId31" w:history="1">
        <w:r w:rsidRPr="00E22D54">
          <w:rPr>
            <w:rStyle w:val="Collegamentoipertestuale"/>
            <w:rFonts w:ascii="Arial" w:hAnsi="Arial" w:cs="Arial"/>
            <w:bCs/>
            <w:sz w:val="20"/>
            <w:szCs w:val="20"/>
          </w:rPr>
          <w:t>https://www.istat.it/it/archivio/6789</w:t>
        </w:r>
      </w:hyperlink>
    </w:p>
    <w:p w14:paraId="05B79AFF" w14:textId="5886DA33"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 xml:space="preserve">La classificazione degli Stati esteri (codici Istat </w:t>
      </w:r>
      <w:r w:rsidR="00544812">
        <w:rPr>
          <w:rFonts w:ascii="Arial" w:hAnsi="Arial" w:cs="Arial"/>
          <w:bCs/>
          <w:sz w:val="20"/>
          <w:szCs w:val="20"/>
        </w:rPr>
        <w:t>a</w:t>
      </w:r>
      <w:r w:rsidRPr="00E22D54">
        <w:rPr>
          <w:rFonts w:ascii="Arial" w:hAnsi="Arial" w:cs="Arial"/>
          <w:bCs/>
          <w:sz w:val="20"/>
          <w:szCs w:val="20"/>
        </w:rPr>
        <w:t xml:space="preserve"> 3 cifre) per la codifica univoca delle cittadinanze straniere: </w:t>
      </w:r>
      <w:hyperlink r:id="rId32" w:history="1">
        <w:r w:rsidRPr="00E22D54">
          <w:rPr>
            <w:rStyle w:val="Collegamentoipertestuale"/>
            <w:rFonts w:ascii="Arial" w:hAnsi="Arial" w:cs="Arial"/>
            <w:bCs/>
            <w:sz w:val="20"/>
            <w:szCs w:val="20"/>
          </w:rPr>
          <w:t>https://www.istat.it/it/archivio/6747</w:t>
        </w:r>
      </w:hyperlink>
    </w:p>
    <w:p w14:paraId="6FC1EACC" w14:textId="77777777"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 xml:space="preserve">Viene effettuato un costante monitoraggio con i dati contenuti nel modello D.7.A. (Rilevazione degli eventi demografici di Stato Civile) che forniscono, mensilmente e per comune di evento, il numero di unioni civili. </w:t>
      </w:r>
    </w:p>
    <w:p w14:paraId="7D597CDB" w14:textId="77777777"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“Censimento permanente della popolazione”. Anni 2018, 2019 e 2020.</w:t>
      </w:r>
    </w:p>
    <w:p w14:paraId="6D17DB5C" w14:textId="77777777" w:rsidR="00FA106C" w:rsidRPr="00D63FDD" w:rsidRDefault="00FA106C" w:rsidP="001C4485">
      <w:pPr>
        <w:spacing w:after="120"/>
        <w:jc w:val="both"/>
        <w:rPr>
          <w:rFonts w:ascii="Arial" w:hAnsi="Arial" w:cs="Arial"/>
          <w:bCs/>
          <w:sz w:val="20"/>
          <w:szCs w:val="20"/>
        </w:rPr>
      </w:pPr>
      <w:r w:rsidRPr="00E22D54">
        <w:rPr>
          <w:rFonts w:ascii="Arial" w:hAnsi="Arial" w:cs="Arial"/>
          <w:bCs/>
          <w:sz w:val="20"/>
          <w:szCs w:val="20"/>
        </w:rPr>
        <w:t>“Ricostruzione della popolazione residente per età al 1° gennaio”. Anni 2002-2019</w:t>
      </w:r>
      <w:r w:rsidRPr="00E22D54">
        <w:rPr>
          <w:rFonts w:ascii="Arial" w:hAnsi="Arial" w:cs="Arial"/>
          <w:bCs/>
          <w:sz w:val="20"/>
          <w:szCs w:val="20"/>
        </w:rPr>
        <w:br/>
        <w:t>Ricostruzione del bilancio demografico, anni 2002-2018.</w:t>
      </w:r>
    </w:p>
    <w:p w14:paraId="17B8F1FD" w14:textId="77777777" w:rsidR="00CC689B" w:rsidRDefault="00CC689B"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Diffusione</w:t>
      </w:r>
    </w:p>
    <w:p w14:paraId="61431955" w14:textId="77777777" w:rsidR="008D6D52" w:rsidRDefault="008D6D52" w:rsidP="001C4485">
      <w:pPr>
        <w:spacing w:after="120"/>
        <w:jc w:val="both"/>
        <w:rPr>
          <w:rFonts w:ascii="Arial" w:hAnsi="Arial" w:cs="Arial"/>
          <w:bCs/>
          <w:sz w:val="20"/>
          <w:szCs w:val="20"/>
        </w:rPr>
      </w:pPr>
      <w:r>
        <w:rPr>
          <w:rFonts w:ascii="Arial" w:hAnsi="Arial" w:cs="Arial"/>
          <w:bCs/>
          <w:sz w:val="20"/>
          <w:szCs w:val="20"/>
        </w:rPr>
        <w:t xml:space="preserve">I principali risultati sono disponibili on line consultando il datawarehouse I.Stat all’indirizzo http://dati.istat.it/ e il sistema tematico Demo, all’indirizzo </w:t>
      </w:r>
      <w:hyperlink r:id="rId33" w:history="1">
        <w:r>
          <w:rPr>
            <w:rStyle w:val="Collegamentoipertestuale"/>
            <w:rFonts w:ascii="Arial" w:hAnsi="Arial" w:cs="Arial"/>
            <w:bCs/>
            <w:sz w:val="20"/>
            <w:szCs w:val="20"/>
          </w:rPr>
          <w:t>http://demo.istat.it/altridati/matrimoni/</w:t>
        </w:r>
      </w:hyperlink>
      <w:r>
        <w:rPr>
          <w:rFonts w:ascii="Arial" w:hAnsi="Arial" w:cs="Arial"/>
          <w:bCs/>
          <w:sz w:val="20"/>
          <w:szCs w:val="20"/>
        </w:rPr>
        <w:t>.</w:t>
      </w:r>
    </w:p>
    <w:p w14:paraId="7AB7F512" w14:textId="77777777" w:rsidR="00CC689B" w:rsidRDefault="00CC689B" w:rsidP="001C4485">
      <w:pPr>
        <w:spacing w:after="120"/>
        <w:jc w:val="both"/>
        <w:rPr>
          <w:rFonts w:ascii="Arial" w:hAnsi="Arial" w:cs="Arial"/>
          <w:bCs/>
          <w:sz w:val="20"/>
          <w:szCs w:val="20"/>
        </w:rPr>
      </w:pPr>
      <w:r>
        <w:rPr>
          <w:rFonts w:ascii="Arial" w:hAnsi="Arial" w:cs="Arial"/>
          <w:bCs/>
          <w:sz w:val="20"/>
          <w:szCs w:val="20"/>
        </w:rPr>
        <w:t xml:space="preserve">Dati riepilogativi annuali sono inoltre diffusi (a livello regionale) nell'Annuario statistico italiano e Noi Italia. </w:t>
      </w:r>
    </w:p>
    <w:p w14:paraId="0AF28245" w14:textId="77777777" w:rsidR="00CC689B" w:rsidRDefault="00CC689B"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Riferimenti normativi</w:t>
      </w:r>
    </w:p>
    <w:p w14:paraId="60860C59" w14:textId="486DBAA2" w:rsidR="00FC445C" w:rsidRPr="00FC445C" w:rsidRDefault="00FC445C" w:rsidP="001C4485">
      <w:pPr>
        <w:spacing w:after="120"/>
        <w:jc w:val="both"/>
        <w:rPr>
          <w:rFonts w:ascii="Arial" w:hAnsi="Arial" w:cs="Arial"/>
          <w:sz w:val="20"/>
          <w:szCs w:val="20"/>
        </w:rPr>
      </w:pPr>
      <w:r>
        <w:rPr>
          <w:rFonts w:ascii="Arial" w:hAnsi="Arial" w:cs="Arial"/>
          <w:sz w:val="20"/>
          <w:szCs w:val="20"/>
        </w:rPr>
        <w:t xml:space="preserve">Il matrimonio concordatario, ovvero il matrimonio contratto con rito religioso trascritto nei </w:t>
      </w:r>
      <w:r w:rsidR="005C35E9">
        <w:rPr>
          <w:rFonts w:ascii="Arial" w:hAnsi="Arial" w:cs="Arial"/>
          <w:sz w:val="20"/>
          <w:szCs w:val="20"/>
        </w:rPr>
        <w:t>R</w:t>
      </w:r>
      <w:r>
        <w:rPr>
          <w:rFonts w:ascii="Arial" w:hAnsi="Arial" w:cs="Arial"/>
          <w:sz w:val="20"/>
          <w:szCs w:val="20"/>
        </w:rPr>
        <w:t xml:space="preserve">egistri di </w:t>
      </w:r>
      <w:r w:rsidR="005C35E9">
        <w:rPr>
          <w:rFonts w:ascii="Arial" w:hAnsi="Arial" w:cs="Arial"/>
          <w:sz w:val="20"/>
          <w:szCs w:val="20"/>
        </w:rPr>
        <w:t>S</w:t>
      </w:r>
      <w:r>
        <w:rPr>
          <w:rFonts w:ascii="Arial" w:hAnsi="Arial" w:cs="Arial"/>
          <w:sz w:val="20"/>
          <w:szCs w:val="20"/>
        </w:rPr>
        <w:t xml:space="preserve">tato </w:t>
      </w:r>
      <w:r w:rsidR="005C35E9">
        <w:rPr>
          <w:rFonts w:ascii="Arial" w:hAnsi="Arial" w:cs="Arial"/>
          <w:sz w:val="20"/>
          <w:szCs w:val="20"/>
        </w:rPr>
        <w:t>C</w:t>
      </w:r>
      <w:r>
        <w:rPr>
          <w:rFonts w:ascii="Arial" w:hAnsi="Arial" w:cs="Arial"/>
          <w:sz w:val="20"/>
          <w:szCs w:val="20"/>
        </w:rPr>
        <w:t>ivile al quale lo Stato italiano riconosce effetti civili, è regolato dalla Legge n. 121 del 25 marzo 1985 (</w:t>
      </w:r>
      <w:r w:rsidR="00A77623">
        <w:rPr>
          <w:rFonts w:ascii="Arial" w:hAnsi="Arial" w:cs="Arial"/>
          <w:sz w:val="20"/>
          <w:szCs w:val="20"/>
        </w:rPr>
        <w:t>L</w:t>
      </w:r>
      <w:r>
        <w:rPr>
          <w:rFonts w:ascii="Arial" w:hAnsi="Arial" w:cs="Arial"/>
          <w:sz w:val="20"/>
          <w:szCs w:val="20"/>
        </w:rPr>
        <w:t xml:space="preserve">egge di ratifica dell’accordo firmato a Roma il 18 febbraio 1984 tra la Repubblica italiana e la Santa </w:t>
      </w:r>
      <w:r w:rsidR="00A77623">
        <w:rPr>
          <w:rFonts w:ascii="Arial" w:hAnsi="Arial" w:cs="Arial"/>
          <w:sz w:val="20"/>
          <w:szCs w:val="20"/>
        </w:rPr>
        <w:t>S</w:t>
      </w:r>
      <w:r>
        <w:rPr>
          <w:rFonts w:ascii="Arial" w:hAnsi="Arial" w:cs="Arial"/>
          <w:sz w:val="20"/>
          <w:szCs w:val="20"/>
        </w:rPr>
        <w:t xml:space="preserve">ede, in modifica del Concordato lateranense dell’11 febbraio 1929). </w:t>
      </w:r>
    </w:p>
    <w:p w14:paraId="147C54A8" w14:textId="754773EF" w:rsidR="00CC689B" w:rsidRDefault="00CC689B" w:rsidP="001C4485">
      <w:pPr>
        <w:spacing w:after="120"/>
        <w:jc w:val="both"/>
        <w:rPr>
          <w:rFonts w:ascii="Arial" w:hAnsi="Arial" w:cs="Arial"/>
          <w:bCs/>
          <w:sz w:val="20"/>
          <w:szCs w:val="20"/>
        </w:rPr>
      </w:pPr>
      <w:r>
        <w:rPr>
          <w:rFonts w:ascii="Arial" w:hAnsi="Arial" w:cs="Arial"/>
          <w:bCs/>
          <w:sz w:val="20"/>
          <w:szCs w:val="20"/>
        </w:rPr>
        <w:t xml:space="preserve">L’art. 1 comma 15 della </w:t>
      </w:r>
      <w:r w:rsidR="009357F5">
        <w:rPr>
          <w:rFonts w:ascii="Arial" w:hAnsi="Arial" w:cs="Arial"/>
          <w:bCs/>
          <w:sz w:val="20"/>
          <w:szCs w:val="20"/>
        </w:rPr>
        <w:t>L</w:t>
      </w:r>
      <w:r>
        <w:rPr>
          <w:rFonts w:ascii="Arial" w:hAnsi="Arial" w:cs="Arial"/>
          <w:bCs/>
          <w:sz w:val="20"/>
          <w:szCs w:val="20"/>
        </w:rPr>
        <w:t xml:space="preserve">egge n. 94 di </w:t>
      </w:r>
      <w:r w:rsidR="00A77623">
        <w:rPr>
          <w:rFonts w:ascii="Arial" w:hAnsi="Arial" w:cs="Arial"/>
          <w:bCs/>
          <w:sz w:val="20"/>
          <w:szCs w:val="20"/>
        </w:rPr>
        <w:t>l</w:t>
      </w:r>
      <w:r>
        <w:rPr>
          <w:rFonts w:ascii="Arial" w:hAnsi="Arial" w:cs="Arial"/>
          <w:bCs/>
          <w:sz w:val="20"/>
          <w:szCs w:val="20"/>
        </w:rPr>
        <w:t>uglio 2009 ha modificato l’art. 116 C</w:t>
      </w:r>
      <w:r w:rsidR="00A77623">
        <w:rPr>
          <w:rFonts w:ascii="Arial" w:hAnsi="Arial" w:cs="Arial"/>
          <w:bCs/>
          <w:sz w:val="20"/>
          <w:szCs w:val="20"/>
        </w:rPr>
        <w:t>.</w:t>
      </w:r>
      <w:r>
        <w:rPr>
          <w:rFonts w:ascii="Arial" w:hAnsi="Arial" w:cs="Arial"/>
          <w:bCs/>
          <w:sz w:val="20"/>
          <w:szCs w:val="20"/>
        </w:rPr>
        <w:t xml:space="preserve">C. Scopo della riforma è quello di impedire la celebrazione di matrimoni di comodo. Questa regola si applica sia ai matrimoni misti sia a quelli con entrambi gli sposi stranieri. </w:t>
      </w:r>
    </w:p>
    <w:p w14:paraId="00C85E5E" w14:textId="14FE12CB" w:rsidR="00CC689B" w:rsidRDefault="00CC689B" w:rsidP="00EE0EE0">
      <w:pPr>
        <w:spacing w:after="120"/>
        <w:jc w:val="both"/>
        <w:rPr>
          <w:rFonts w:ascii="Arial" w:hAnsi="Arial" w:cs="Arial"/>
          <w:bCs/>
          <w:sz w:val="20"/>
          <w:szCs w:val="20"/>
        </w:rPr>
      </w:pPr>
      <w:r>
        <w:rPr>
          <w:rFonts w:ascii="Arial" w:hAnsi="Arial" w:cs="Arial"/>
          <w:bCs/>
          <w:sz w:val="20"/>
          <w:szCs w:val="20"/>
        </w:rPr>
        <w:t xml:space="preserve">La Corte Costituzionale nel luglio 2011, con la sentenza n. 245/2011, ha ritenuto costituzionalmente illegittimo l’art. 116, comma 1, c.c., come modificato dall’art. 1, comma 15, della </w:t>
      </w:r>
      <w:r w:rsidR="009357F5">
        <w:rPr>
          <w:rFonts w:ascii="Arial" w:hAnsi="Arial" w:cs="Arial"/>
          <w:bCs/>
          <w:sz w:val="20"/>
          <w:szCs w:val="20"/>
        </w:rPr>
        <w:t>L</w:t>
      </w:r>
      <w:r>
        <w:rPr>
          <w:rFonts w:ascii="Arial" w:hAnsi="Arial" w:cs="Arial"/>
          <w:bCs/>
          <w:sz w:val="20"/>
          <w:szCs w:val="20"/>
        </w:rPr>
        <w:t>egge n. 94 del 2009, limitatamente alle parole “nonché un documento attestante la regolarità del soggiorno nel territorio italiano”, poiché il divieto generale di celebrare il matrimonio dello straniero non regolarmente soggiornante in Italia rappresenta uno strumento sproporzionato, irragionevolmente lesivo del diritto fondamentale di ogni essere umano di contrarre matrimonio.</w:t>
      </w:r>
    </w:p>
    <w:p w14:paraId="38CDDED5" w14:textId="77777777" w:rsidR="00714AFD" w:rsidRDefault="00714AFD" w:rsidP="00EE0EE0">
      <w:pPr>
        <w:spacing w:after="120"/>
        <w:jc w:val="both"/>
        <w:rPr>
          <w:rFonts w:ascii="Arial" w:hAnsi="Arial" w:cs="Arial"/>
          <w:bCs/>
          <w:sz w:val="20"/>
          <w:szCs w:val="20"/>
        </w:rPr>
      </w:pPr>
    </w:p>
    <w:p w14:paraId="19CF85EA" w14:textId="77777777" w:rsidR="00CC689B" w:rsidRPr="000810FD" w:rsidRDefault="00CC689B" w:rsidP="001C4485">
      <w:pPr>
        <w:spacing w:after="120"/>
        <w:jc w:val="both"/>
        <w:rPr>
          <w:rFonts w:ascii="Arial" w:hAnsi="Arial" w:cs="Arial"/>
          <w:b/>
          <w:bCs/>
          <w:color w:val="1F497D" w:themeColor="text2"/>
        </w:rPr>
      </w:pPr>
      <w:r w:rsidRPr="000810FD">
        <w:rPr>
          <w:rFonts w:ascii="Arial" w:hAnsi="Arial" w:cs="Arial"/>
          <w:b/>
          <w:bCs/>
          <w:color w:val="1F497D" w:themeColor="text2"/>
        </w:rPr>
        <w:t>La rilevazione delle unioni civili</w:t>
      </w:r>
    </w:p>
    <w:p w14:paraId="49511D03" w14:textId="77777777" w:rsidR="00CC689B" w:rsidRPr="00574FC2" w:rsidRDefault="00CC689B" w:rsidP="001C4485">
      <w:pPr>
        <w:spacing w:after="120"/>
        <w:jc w:val="both"/>
        <w:rPr>
          <w:rFonts w:ascii="Arial" w:hAnsi="Arial" w:cs="Arial"/>
          <w:b/>
          <w:bCs/>
          <w:color w:val="1F497D" w:themeColor="text2"/>
          <w:sz w:val="22"/>
          <w:szCs w:val="22"/>
        </w:rPr>
      </w:pPr>
      <w:r w:rsidRPr="00574FC2">
        <w:rPr>
          <w:rFonts w:ascii="Arial" w:hAnsi="Arial" w:cs="Arial"/>
          <w:b/>
          <w:bCs/>
          <w:color w:val="1F497D" w:themeColor="text2"/>
          <w:sz w:val="22"/>
          <w:szCs w:val="22"/>
        </w:rPr>
        <w:t>Obiettivi conoscitivi e quadro di riferimento</w:t>
      </w:r>
    </w:p>
    <w:p w14:paraId="47D2EAB9" w14:textId="0A8E7A95" w:rsidR="00CC689B" w:rsidRDefault="00CC689B" w:rsidP="001C4485">
      <w:pPr>
        <w:spacing w:after="120"/>
        <w:jc w:val="both"/>
        <w:rPr>
          <w:rFonts w:ascii="Arial" w:hAnsi="Arial" w:cs="Arial"/>
          <w:bCs/>
          <w:sz w:val="20"/>
          <w:szCs w:val="20"/>
        </w:rPr>
      </w:pPr>
      <w:r>
        <w:rPr>
          <w:rFonts w:ascii="Arial" w:hAnsi="Arial" w:cs="Arial"/>
          <w:bCs/>
          <w:sz w:val="20"/>
          <w:szCs w:val="20"/>
        </w:rPr>
        <w:t xml:space="preserve">La rilevazione sulle unioni civili è stata istituita dall'Istat nel 2018. L'indagine, individuale ed esaustiva, ha per oggetto tutte le unioni civili della popolazione presente e consente di analizzare le principali caratteristiche </w:t>
      </w:r>
      <w:r w:rsidR="00117E8C">
        <w:rPr>
          <w:rFonts w:ascii="Arial" w:hAnsi="Arial" w:cs="Arial"/>
          <w:bCs/>
          <w:sz w:val="20"/>
          <w:szCs w:val="20"/>
        </w:rPr>
        <w:br/>
      </w:r>
      <w:r w:rsidR="00E32DF1">
        <w:rPr>
          <w:rFonts w:ascii="Arial" w:hAnsi="Arial" w:cs="Arial"/>
          <w:bCs/>
          <w:sz w:val="20"/>
          <w:szCs w:val="20"/>
        </w:rPr>
        <w:t xml:space="preserve">socio-demografiche degli uniti </w:t>
      </w:r>
      <w:r w:rsidR="00E32DF1" w:rsidRPr="00E32DF1">
        <w:rPr>
          <w:rFonts w:ascii="Arial" w:hAnsi="Arial" w:cs="Arial"/>
          <w:sz w:val="20"/>
          <w:szCs w:val="20"/>
        </w:rPr>
        <w:t>e monitorare l’evoluzione del fenomeno.</w:t>
      </w:r>
    </w:p>
    <w:p w14:paraId="784F86D3" w14:textId="3152E941" w:rsidR="00CC689B" w:rsidRDefault="00CC689B" w:rsidP="001C4485">
      <w:pPr>
        <w:spacing w:after="120"/>
        <w:jc w:val="both"/>
        <w:rPr>
          <w:rFonts w:ascii="Arial" w:hAnsi="Arial" w:cs="Arial"/>
          <w:bCs/>
          <w:sz w:val="20"/>
          <w:szCs w:val="20"/>
        </w:rPr>
      </w:pPr>
      <w:r>
        <w:rPr>
          <w:rFonts w:ascii="Arial" w:hAnsi="Arial" w:cs="Arial"/>
          <w:bCs/>
          <w:sz w:val="20"/>
          <w:szCs w:val="20"/>
        </w:rPr>
        <w:t>La rilevazione è inserita nel Programma Statistico Nazionale (codice IST-02744) ed è stata avviata a partire dal 2018.</w:t>
      </w:r>
      <w:r w:rsidR="006141F8">
        <w:rPr>
          <w:rFonts w:ascii="Arial" w:hAnsi="Arial" w:cs="Arial"/>
          <w:bCs/>
          <w:sz w:val="20"/>
          <w:szCs w:val="20"/>
        </w:rPr>
        <w:t xml:space="preserve"> </w:t>
      </w:r>
      <w:r>
        <w:rPr>
          <w:rFonts w:ascii="Arial" w:hAnsi="Arial" w:cs="Arial"/>
          <w:sz w:val="20"/>
          <w:szCs w:val="20"/>
        </w:rPr>
        <w:t xml:space="preserve">Oggetto della rilevazione sono tutte le unioni civili costituite presso gli Uffici di Stato Civile dei vari </w:t>
      </w:r>
      <w:r w:rsidR="00DA4456">
        <w:rPr>
          <w:rFonts w:ascii="Arial" w:hAnsi="Arial" w:cs="Arial"/>
          <w:sz w:val="20"/>
          <w:szCs w:val="20"/>
        </w:rPr>
        <w:t>C</w:t>
      </w:r>
      <w:r>
        <w:rPr>
          <w:rFonts w:ascii="Arial" w:hAnsi="Arial" w:cs="Arial"/>
          <w:sz w:val="20"/>
          <w:szCs w:val="20"/>
        </w:rPr>
        <w:t xml:space="preserve">omuni italiani, mediante un apposito modello statistico (Mod. Istat D.3.U) che rileva le principali notizie sull’unione civile e sugli uniti. </w:t>
      </w:r>
      <w:r>
        <w:rPr>
          <w:rFonts w:ascii="Arial" w:hAnsi="Arial" w:cs="Arial"/>
          <w:bCs/>
          <w:sz w:val="20"/>
          <w:szCs w:val="20"/>
        </w:rPr>
        <w:t xml:space="preserve">Il modello è diviso in due parti: notizie sull’unione e notizie sugli uniti. Per ciascun evento, nella sezione dedicata all’unione si rilevano: la data, il </w:t>
      </w:r>
      <w:r w:rsidR="00117E8C">
        <w:rPr>
          <w:rFonts w:ascii="Arial" w:hAnsi="Arial" w:cs="Arial"/>
          <w:bCs/>
          <w:sz w:val="20"/>
          <w:szCs w:val="20"/>
        </w:rPr>
        <w:t>C</w:t>
      </w:r>
      <w:r>
        <w:rPr>
          <w:rFonts w:ascii="Arial" w:hAnsi="Arial" w:cs="Arial"/>
          <w:bCs/>
          <w:sz w:val="20"/>
          <w:szCs w:val="20"/>
        </w:rPr>
        <w:t>omune di costituzione e il regime patrimoniale scelto (comunione o separazione dei beni). Le notizie rilevate per ciascun partner riguardano: la data di nascita, il Comune di nascita, il Comune di residenza al momento del matrimonio, lo stato civile precedente, il grado di istruzione, la condizione professionale, la posizione nella professione e la cittadinanza.</w:t>
      </w:r>
    </w:p>
    <w:p w14:paraId="3F068875" w14:textId="78ADCED6" w:rsidR="0024284A" w:rsidRDefault="0024284A" w:rsidP="001C4485">
      <w:pPr>
        <w:spacing w:after="120"/>
        <w:jc w:val="both"/>
        <w:rPr>
          <w:rFonts w:ascii="Arial" w:hAnsi="Arial" w:cs="Arial"/>
          <w:bCs/>
          <w:sz w:val="20"/>
          <w:szCs w:val="20"/>
        </w:rPr>
      </w:pPr>
    </w:p>
    <w:p w14:paraId="3EE4DBE2" w14:textId="77777777" w:rsidR="0024284A" w:rsidRPr="006141F8" w:rsidRDefault="0024284A" w:rsidP="001C4485">
      <w:pPr>
        <w:spacing w:after="120"/>
        <w:jc w:val="both"/>
        <w:rPr>
          <w:rFonts w:ascii="Arial" w:hAnsi="Arial" w:cs="Arial"/>
          <w:bCs/>
          <w:sz w:val="20"/>
          <w:szCs w:val="20"/>
        </w:rPr>
      </w:pPr>
    </w:p>
    <w:p w14:paraId="3C80A9FC" w14:textId="77777777" w:rsidR="00CC689B" w:rsidRDefault="00CC689B"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Processo e metodologie</w:t>
      </w:r>
    </w:p>
    <w:p w14:paraId="2F05F3C7" w14:textId="77777777" w:rsidR="00CC689B" w:rsidRDefault="00CC689B" w:rsidP="001C4485">
      <w:pPr>
        <w:spacing w:after="120"/>
        <w:jc w:val="both"/>
        <w:rPr>
          <w:rFonts w:ascii="Arial" w:hAnsi="Arial" w:cs="Arial"/>
          <w:bCs/>
          <w:sz w:val="20"/>
          <w:szCs w:val="20"/>
        </w:rPr>
      </w:pPr>
      <w:r>
        <w:rPr>
          <w:rFonts w:ascii="Arial" w:hAnsi="Arial" w:cs="Arial"/>
          <w:bCs/>
          <w:sz w:val="20"/>
          <w:szCs w:val="20"/>
        </w:rPr>
        <w:t>Si tratta di una rilevazione a carattere continuo anche se, ai fini di razionalizzare i flussi, la raccolta dei dati viene cadenzata mensilmente e i dati analizzati, rilasciati e diffusi annualmente.</w:t>
      </w:r>
    </w:p>
    <w:p w14:paraId="1265DADC" w14:textId="7223B74E" w:rsidR="00CC689B" w:rsidRDefault="00CC689B" w:rsidP="001C4485">
      <w:pPr>
        <w:spacing w:after="120"/>
        <w:jc w:val="both"/>
        <w:rPr>
          <w:rFonts w:ascii="Arial" w:hAnsi="Arial" w:cs="Arial"/>
          <w:bCs/>
          <w:sz w:val="20"/>
          <w:szCs w:val="20"/>
        </w:rPr>
      </w:pPr>
      <w:r>
        <w:rPr>
          <w:rFonts w:ascii="Arial" w:hAnsi="Arial" w:cs="Arial"/>
          <w:bCs/>
          <w:sz w:val="20"/>
          <w:szCs w:val="20"/>
        </w:rPr>
        <w:t>La compilazione, acquisizione e trasmissione dei modelli avviene esclusivamente per via telematica a cura degli Ufficiali di Stato civile, attraverso un’utenza personalizzata collegandosi alla piattaforma creata ad hoc dall’Istat per le “Indagini demografiche di Stato Civile” e disponibile al link:</w:t>
      </w:r>
      <w:r w:rsidR="009357F5">
        <w:rPr>
          <w:rFonts w:ascii="Arial" w:hAnsi="Arial" w:cs="Arial"/>
          <w:bCs/>
          <w:sz w:val="20"/>
          <w:szCs w:val="20"/>
        </w:rPr>
        <w:t xml:space="preserve"> </w:t>
      </w:r>
      <w:hyperlink r:id="rId34" w:history="1">
        <w:r>
          <w:rPr>
            <w:rStyle w:val="Collegamentoipertestuale"/>
            <w:rFonts w:ascii="Arial" w:hAnsi="Arial" w:cs="Arial"/>
            <w:bCs/>
            <w:sz w:val="20"/>
            <w:szCs w:val="20"/>
          </w:rPr>
          <w:t>https://gino.istat.it/statocivile/</w:t>
        </w:r>
      </w:hyperlink>
      <w:r>
        <w:rPr>
          <w:rFonts w:ascii="Arial" w:hAnsi="Arial" w:cs="Arial"/>
          <w:bCs/>
          <w:sz w:val="20"/>
          <w:szCs w:val="20"/>
        </w:rPr>
        <w:t>.</w:t>
      </w:r>
    </w:p>
    <w:p w14:paraId="6889DAEC" w14:textId="71304DD8" w:rsidR="00CC689B" w:rsidRDefault="00CC689B" w:rsidP="001C4485">
      <w:pPr>
        <w:spacing w:after="120"/>
        <w:jc w:val="both"/>
        <w:rPr>
          <w:rFonts w:ascii="Arial" w:hAnsi="Arial" w:cs="Arial"/>
          <w:bCs/>
          <w:sz w:val="20"/>
          <w:szCs w:val="20"/>
        </w:rPr>
      </w:pPr>
      <w:r>
        <w:rPr>
          <w:rFonts w:ascii="Arial" w:hAnsi="Arial" w:cs="Arial"/>
          <w:bCs/>
          <w:sz w:val="20"/>
          <w:szCs w:val="20"/>
        </w:rPr>
        <w:t>Il controllo della copertura dei dati avviene considerando sia la rilevazione riepilogativa mensile sia la serie storica degli eventi per ciascun Comune. La correzione delle mancate risposte totali e parziali avviene con metodi misti: deterministici nel caso di errori sistematici e probabilistici nel caso di errori stocastici.</w:t>
      </w:r>
    </w:p>
    <w:p w14:paraId="288E0992" w14:textId="77777777" w:rsidR="00CC689B" w:rsidRDefault="00CC689B"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Classificazioni e fonti complementari</w:t>
      </w:r>
    </w:p>
    <w:p w14:paraId="0C084D0B" w14:textId="77777777" w:rsidR="005E43F1" w:rsidRPr="00E22D54" w:rsidRDefault="005E43F1" w:rsidP="001C4485">
      <w:pPr>
        <w:spacing w:after="120"/>
        <w:jc w:val="both"/>
        <w:rPr>
          <w:rFonts w:ascii="Arial" w:hAnsi="Arial" w:cs="Arial"/>
          <w:bCs/>
          <w:sz w:val="20"/>
          <w:szCs w:val="20"/>
        </w:rPr>
      </w:pPr>
      <w:r w:rsidRPr="00E22D54">
        <w:rPr>
          <w:rFonts w:ascii="Arial" w:hAnsi="Arial" w:cs="Arial"/>
          <w:bCs/>
          <w:sz w:val="20"/>
          <w:szCs w:val="20"/>
        </w:rPr>
        <w:t>Nella rilevazione vengono utilizzate principalmente due classificazioni Istat:</w:t>
      </w:r>
    </w:p>
    <w:p w14:paraId="358047FC" w14:textId="77777777" w:rsidR="005E43F1" w:rsidRPr="00E22D54" w:rsidRDefault="005E43F1" w:rsidP="001C4485">
      <w:pPr>
        <w:spacing w:after="120"/>
        <w:jc w:val="both"/>
        <w:rPr>
          <w:rFonts w:ascii="Arial" w:hAnsi="Arial" w:cs="Arial"/>
          <w:bCs/>
          <w:sz w:val="20"/>
          <w:szCs w:val="20"/>
        </w:rPr>
      </w:pPr>
      <w:r w:rsidRPr="00E22D54">
        <w:rPr>
          <w:rFonts w:ascii="Arial" w:hAnsi="Arial" w:cs="Arial"/>
          <w:bCs/>
          <w:sz w:val="20"/>
          <w:szCs w:val="20"/>
        </w:rPr>
        <w:t xml:space="preserve">La classificazione dei codici comunali (codici Istat a 6 cifre con codice provincia e codice comune): </w:t>
      </w:r>
      <w:hyperlink r:id="rId35" w:history="1">
        <w:r w:rsidRPr="00E22D54">
          <w:rPr>
            <w:rStyle w:val="Collegamentoipertestuale"/>
            <w:rFonts w:ascii="Arial" w:hAnsi="Arial" w:cs="Arial"/>
            <w:bCs/>
            <w:sz w:val="20"/>
            <w:szCs w:val="20"/>
          </w:rPr>
          <w:t>https://www.istat.it/it/archivio/6789</w:t>
        </w:r>
      </w:hyperlink>
    </w:p>
    <w:p w14:paraId="15564FBD" w14:textId="349DA61B" w:rsidR="005E43F1" w:rsidRPr="00E22D54" w:rsidRDefault="005E43F1" w:rsidP="001C4485">
      <w:pPr>
        <w:spacing w:after="120"/>
        <w:jc w:val="both"/>
        <w:rPr>
          <w:rFonts w:ascii="Arial" w:hAnsi="Arial" w:cs="Arial"/>
          <w:bCs/>
          <w:sz w:val="20"/>
          <w:szCs w:val="20"/>
        </w:rPr>
      </w:pPr>
      <w:r w:rsidRPr="00E22D54">
        <w:rPr>
          <w:rFonts w:ascii="Arial" w:hAnsi="Arial" w:cs="Arial"/>
          <w:bCs/>
          <w:sz w:val="20"/>
          <w:szCs w:val="20"/>
        </w:rPr>
        <w:t xml:space="preserve">La classificazione degli Stati esteri (codici Istat </w:t>
      </w:r>
      <w:r w:rsidR="003B5951">
        <w:rPr>
          <w:rFonts w:ascii="Arial" w:hAnsi="Arial" w:cs="Arial"/>
          <w:bCs/>
          <w:sz w:val="20"/>
          <w:szCs w:val="20"/>
        </w:rPr>
        <w:t>a</w:t>
      </w:r>
      <w:r w:rsidRPr="00E22D54">
        <w:rPr>
          <w:rFonts w:ascii="Arial" w:hAnsi="Arial" w:cs="Arial"/>
          <w:bCs/>
          <w:sz w:val="20"/>
          <w:szCs w:val="20"/>
        </w:rPr>
        <w:t xml:space="preserve"> 3 cifre) per la codifica univoca delle cittadinanze straniere: </w:t>
      </w:r>
      <w:hyperlink r:id="rId36" w:history="1">
        <w:r w:rsidRPr="00E22D54">
          <w:rPr>
            <w:rStyle w:val="Collegamentoipertestuale"/>
            <w:rFonts w:ascii="Arial" w:hAnsi="Arial" w:cs="Arial"/>
            <w:bCs/>
            <w:sz w:val="20"/>
            <w:szCs w:val="20"/>
          </w:rPr>
          <w:t>https://www.istat.it/it/archivio/6747</w:t>
        </w:r>
      </w:hyperlink>
    </w:p>
    <w:p w14:paraId="32AC8543" w14:textId="3288554D" w:rsidR="00E32DF1" w:rsidRPr="00E22D54" w:rsidRDefault="00E32DF1" w:rsidP="001C4485">
      <w:pPr>
        <w:spacing w:after="120"/>
        <w:jc w:val="both"/>
        <w:rPr>
          <w:rFonts w:ascii="Arial" w:hAnsi="Arial" w:cs="Arial"/>
          <w:bCs/>
          <w:sz w:val="20"/>
          <w:szCs w:val="20"/>
        </w:rPr>
      </w:pPr>
      <w:r w:rsidRPr="00E22D54">
        <w:rPr>
          <w:rFonts w:ascii="Arial" w:hAnsi="Arial" w:cs="Arial"/>
          <w:bCs/>
          <w:sz w:val="20"/>
          <w:szCs w:val="20"/>
        </w:rPr>
        <w:t>Viene effettuato un costan</w:t>
      </w:r>
      <w:r w:rsidR="006141F8" w:rsidRPr="00E22D54">
        <w:rPr>
          <w:rFonts w:ascii="Arial" w:hAnsi="Arial" w:cs="Arial"/>
          <w:bCs/>
          <w:sz w:val="20"/>
          <w:szCs w:val="20"/>
        </w:rPr>
        <w:t xml:space="preserve">te monitoraggio con i dati </w:t>
      </w:r>
      <w:r w:rsidRPr="00E22D54">
        <w:rPr>
          <w:rFonts w:ascii="Arial" w:hAnsi="Arial" w:cs="Arial"/>
          <w:bCs/>
          <w:sz w:val="20"/>
          <w:szCs w:val="20"/>
        </w:rPr>
        <w:t xml:space="preserve">contenuti nel modello D.7.A. (Rilevazione degli eventi demografici di Stato Civile) che forniscono, mensilmente e per comune di evento, il numero di unioni civili. </w:t>
      </w:r>
    </w:p>
    <w:p w14:paraId="06274BD6" w14:textId="77777777" w:rsidR="005E43F1" w:rsidRPr="00E22D54" w:rsidRDefault="005E43F1" w:rsidP="001C4485">
      <w:pPr>
        <w:spacing w:after="120"/>
        <w:jc w:val="both"/>
        <w:rPr>
          <w:rFonts w:ascii="Arial" w:hAnsi="Arial" w:cs="Arial"/>
          <w:bCs/>
          <w:sz w:val="20"/>
          <w:szCs w:val="20"/>
        </w:rPr>
      </w:pPr>
      <w:r w:rsidRPr="00E22D54">
        <w:rPr>
          <w:rFonts w:ascii="Arial" w:hAnsi="Arial" w:cs="Arial"/>
          <w:bCs/>
          <w:sz w:val="20"/>
          <w:szCs w:val="20"/>
        </w:rPr>
        <w:t>“Censimento permanente della popolazione”. Anni 2018, 2019 e 2020.</w:t>
      </w:r>
    </w:p>
    <w:p w14:paraId="2C95099D" w14:textId="7C4D7732" w:rsidR="005E43F1" w:rsidRPr="00D63FDD" w:rsidRDefault="005E43F1" w:rsidP="001C4485">
      <w:pPr>
        <w:spacing w:after="120"/>
        <w:jc w:val="both"/>
        <w:rPr>
          <w:rFonts w:ascii="Arial" w:hAnsi="Arial" w:cs="Arial"/>
          <w:bCs/>
          <w:sz w:val="20"/>
          <w:szCs w:val="20"/>
        </w:rPr>
      </w:pPr>
      <w:r w:rsidRPr="00E22D54">
        <w:rPr>
          <w:rFonts w:ascii="Arial" w:hAnsi="Arial" w:cs="Arial"/>
          <w:bCs/>
          <w:sz w:val="20"/>
          <w:szCs w:val="20"/>
        </w:rPr>
        <w:t>“Ricostruzione della popolazione residente per età al 1° gennaio”. Anni 2002-2019</w:t>
      </w:r>
      <w:r w:rsidR="004C004F">
        <w:rPr>
          <w:rFonts w:ascii="Arial" w:hAnsi="Arial" w:cs="Arial"/>
          <w:bCs/>
          <w:sz w:val="20"/>
          <w:szCs w:val="20"/>
        </w:rPr>
        <w:t xml:space="preserve"> </w:t>
      </w:r>
      <w:r w:rsidRPr="00E22D54">
        <w:rPr>
          <w:rFonts w:ascii="Arial" w:hAnsi="Arial" w:cs="Arial"/>
          <w:bCs/>
          <w:sz w:val="20"/>
          <w:szCs w:val="20"/>
        </w:rPr>
        <w:t>Ricostruzione del bilancio demografico, anni 2002-2018.</w:t>
      </w:r>
    </w:p>
    <w:p w14:paraId="54370C36" w14:textId="77777777" w:rsidR="008357DD" w:rsidRDefault="008357DD"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Diffusione</w:t>
      </w:r>
    </w:p>
    <w:p w14:paraId="5EDC4C08" w14:textId="0FA2F3BF" w:rsidR="008357DD" w:rsidRDefault="008357DD" w:rsidP="001C4485">
      <w:pPr>
        <w:spacing w:after="120"/>
        <w:jc w:val="both"/>
        <w:rPr>
          <w:rFonts w:ascii="Arial" w:hAnsi="Arial" w:cs="Arial"/>
          <w:bCs/>
          <w:sz w:val="20"/>
          <w:szCs w:val="20"/>
        </w:rPr>
      </w:pPr>
      <w:r>
        <w:rPr>
          <w:rFonts w:ascii="Arial" w:hAnsi="Arial" w:cs="Arial"/>
          <w:bCs/>
          <w:sz w:val="20"/>
          <w:szCs w:val="20"/>
        </w:rPr>
        <w:t xml:space="preserve">I principali risultati saranno a breve disponibili on line consultando il datawarehouse I.Stat all’indirizzo http://dati.istat.it/ e il sistema tematico Demo, all’indirizzo </w:t>
      </w:r>
      <w:hyperlink r:id="rId37" w:history="1">
        <w:r w:rsidR="006141F8" w:rsidRPr="008440D9">
          <w:rPr>
            <w:rStyle w:val="Collegamentoipertestuale"/>
            <w:rFonts w:ascii="Arial" w:hAnsi="Arial" w:cs="Arial"/>
            <w:bCs/>
            <w:sz w:val="20"/>
            <w:szCs w:val="20"/>
          </w:rPr>
          <w:t>http://demo.istat.it/</w:t>
        </w:r>
      </w:hyperlink>
      <w:r>
        <w:rPr>
          <w:rFonts w:ascii="Arial" w:hAnsi="Arial" w:cs="Arial"/>
          <w:bCs/>
          <w:sz w:val="20"/>
          <w:szCs w:val="20"/>
        </w:rPr>
        <w:t>.</w:t>
      </w:r>
    </w:p>
    <w:p w14:paraId="7B76EC8C" w14:textId="3C1B1EE0" w:rsidR="006141F8" w:rsidRPr="00E16DC4" w:rsidRDefault="006141F8" w:rsidP="001C4485">
      <w:pPr>
        <w:pStyle w:val="Testonotadichiusura"/>
        <w:spacing w:after="120"/>
        <w:jc w:val="both"/>
        <w:rPr>
          <w:rFonts w:ascii="Arial" w:hAnsi="Arial" w:cs="Arial"/>
          <w:sz w:val="16"/>
          <w:szCs w:val="16"/>
        </w:rPr>
      </w:pPr>
      <w:r>
        <w:rPr>
          <w:rFonts w:ascii="Arial" w:hAnsi="Arial" w:cs="Arial"/>
          <w:bCs/>
        </w:rPr>
        <w:t xml:space="preserve">I dati precedenti al 2018, elaborati sulla base dei dati derivanti dalla </w:t>
      </w:r>
      <w:r w:rsidRPr="00E32DF1">
        <w:rPr>
          <w:rFonts w:ascii="Arial" w:hAnsi="Arial" w:cs="Arial"/>
          <w:bCs/>
        </w:rPr>
        <w:t>Rilevazione degli eve</w:t>
      </w:r>
      <w:r>
        <w:rPr>
          <w:rFonts w:ascii="Arial" w:hAnsi="Arial" w:cs="Arial"/>
          <w:bCs/>
        </w:rPr>
        <w:t>nti demografici di Stato Civile,</w:t>
      </w:r>
      <w:r w:rsidRPr="00E32DF1">
        <w:rPr>
          <w:rFonts w:ascii="Arial" w:hAnsi="Arial" w:cs="Arial"/>
          <w:bCs/>
        </w:rPr>
        <w:t xml:space="preserve"> </w:t>
      </w:r>
      <w:r>
        <w:rPr>
          <w:rFonts w:ascii="Arial" w:hAnsi="Arial" w:cs="Arial"/>
          <w:bCs/>
        </w:rPr>
        <w:t xml:space="preserve">sono stati diffusi con la </w:t>
      </w:r>
      <w:r>
        <w:rPr>
          <w:rFonts w:ascii="Arial" w:hAnsi="Arial" w:cs="Arial"/>
        </w:rPr>
        <w:t>Statistica Report “</w:t>
      </w:r>
      <w:r w:rsidRPr="006141F8">
        <w:rPr>
          <w:rFonts w:ascii="Arial" w:hAnsi="Arial" w:cs="Arial"/>
        </w:rPr>
        <w:t>Popolazione residente per stato civile. Anno 2018</w:t>
      </w:r>
      <w:r>
        <w:rPr>
          <w:rFonts w:ascii="Arial" w:hAnsi="Arial" w:cs="Arial"/>
        </w:rPr>
        <w:t>”</w:t>
      </w:r>
      <w:r w:rsidRPr="006141F8">
        <w:rPr>
          <w:rFonts w:ascii="Arial" w:hAnsi="Arial" w:cs="Arial"/>
        </w:rPr>
        <w:t>.</w:t>
      </w:r>
    </w:p>
    <w:p w14:paraId="558381DA" w14:textId="77777777" w:rsidR="00CC689B" w:rsidRDefault="00CC689B"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Riferimenti normativi</w:t>
      </w:r>
    </w:p>
    <w:p w14:paraId="5193CF91" w14:textId="77777777" w:rsidR="008D6D52" w:rsidRDefault="00CC689B" w:rsidP="001C4485">
      <w:pPr>
        <w:spacing w:after="120"/>
        <w:jc w:val="both"/>
        <w:rPr>
          <w:rFonts w:ascii="Arial" w:hAnsi="Arial" w:cs="Arial"/>
          <w:bCs/>
          <w:sz w:val="20"/>
          <w:szCs w:val="20"/>
        </w:rPr>
      </w:pPr>
      <w:r>
        <w:rPr>
          <w:rFonts w:ascii="Arial" w:hAnsi="Arial" w:cs="Arial"/>
          <w:bCs/>
          <w:sz w:val="20"/>
          <w:szCs w:val="20"/>
        </w:rPr>
        <w:t xml:space="preserve">Legge 20 maggio 2016, n. 76 sulla “Regolamentazione delle unioni civili tra persone dello stesso sesso e disciplina delle convivenze”, in vigore dal 5 giugno 2016. </w:t>
      </w:r>
    </w:p>
    <w:p w14:paraId="39B66007" w14:textId="630CFB86" w:rsidR="008D6D52" w:rsidRDefault="00CC689B" w:rsidP="001C4485">
      <w:pPr>
        <w:spacing w:after="120"/>
        <w:jc w:val="both"/>
        <w:rPr>
          <w:rFonts w:ascii="Arial" w:hAnsi="Arial" w:cs="Arial"/>
          <w:bCs/>
          <w:sz w:val="20"/>
          <w:szCs w:val="20"/>
        </w:rPr>
      </w:pPr>
      <w:r>
        <w:rPr>
          <w:rFonts w:ascii="Arial" w:hAnsi="Arial" w:cs="Arial"/>
          <w:bCs/>
          <w:sz w:val="20"/>
          <w:szCs w:val="20"/>
        </w:rPr>
        <w:t>D.P.C.M</w:t>
      </w:r>
      <w:r w:rsidR="00862ABE">
        <w:rPr>
          <w:rFonts w:ascii="Arial" w:hAnsi="Arial" w:cs="Arial"/>
          <w:bCs/>
          <w:sz w:val="20"/>
          <w:szCs w:val="20"/>
        </w:rPr>
        <w:t>.</w:t>
      </w:r>
      <w:r>
        <w:rPr>
          <w:rFonts w:ascii="Arial" w:hAnsi="Arial" w:cs="Arial"/>
          <w:bCs/>
          <w:sz w:val="20"/>
          <w:szCs w:val="20"/>
        </w:rPr>
        <w:t xml:space="preserve"> 23 luglio 2016, n. 144 “Regolamento recante disposizioni transitorie necessarie per la tenuta dei registri dell’archivio nello stato civile, ai sensi dell’articolo 1, comma 34, della </w:t>
      </w:r>
      <w:r w:rsidR="003E32B7">
        <w:rPr>
          <w:rFonts w:ascii="Arial" w:hAnsi="Arial" w:cs="Arial"/>
          <w:bCs/>
          <w:sz w:val="20"/>
          <w:szCs w:val="20"/>
        </w:rPr>
        <w:t>L</w:t>
      </w:r>
      <w:r>
        <w:rPr>
          <w:rFonts w:ascii="Arial" w:hAnsi="Arial" w:cs="Arial"/>
          <w:bCs/>
          <w:sz w:val="20"/>
          <w:szCs w:val="20"/>
        </w:rPr>
        <w:t xml:space="preserve">egge 20 maggio 2016, n.76”, in vigore dal 29 luglio 2016. </w:t>
      </w:r>
    </w:p>
    <w:p w14:paraId="253F2650" w14:textId="7F1FB792" w:rsidR="00CC689B" w:rsidRDefault="00CC689B" w:rsidP="001C4485">
      <w:pPr>
        <w:spacing w:after="120"/>
        <w:jc w:val="both"/>
        <w:rPr>
          <w:rFonts w:ascii="Arial" w:hAnsi="Arial" w:cs="Arial"/>
          <w:bCs/>
          <w:sz w:val="20"/>
          <w:szCs w:val="20"/>
        </w:rPr>
      </w:pPr>
      <w:r>
        <w:rPr>
          <w:rFonts w:ascii="Arial" w:hAnsi="Arial" w:cs="Arial"/>
          <w:bCs/>
          <w:sz w:val="20"/>
          <w:szCs w:val="20"/>
        </w:rPr>
        <w:t xml:space="preserve">D.lgs. 19 gennaio 2017, n. 6 “Modificazioni ed integrazioni normative in materia penale per il necessario coordinamento con la disciplina delle unioni civili, ai sensi dell’articolo 1, comma 28, lettera c), della </w:t>
      </w:r>
      <w:r w:rsidR="003E32B7">
        <w:rPr>
          <w:rFonts w:ascii="Arial" w:hAnsi="Arial" w:cs="Arial"/>
          <w:bCs/>
          <w:sz w:val="20"/>
          <w:szCs w:val="20"/>
        </w:rPr>
        <w:t>L</w:t>
      </w:r>
      <w:r>
        <w:rPr>
          <w:rFonts w:ascii="Arial" w:hAnsi="Arial" w:cs="Arial"/>
          <w:bCs/>
          <w:sz w:val="20"/>
          <w:szCs w:val="20"/>
        </w:rPr>
        <w:t>egge 20 maggio 2016, n. 76” in vigore dall’11 febbraio 2017.</w:t>
      </w:r>
    </w:p>
    <w:p w14:paraId="347A8570" w14:textId="77777777" w:rsidR="003833B9" w:rsidRPr="00714AFD" w:rsidRDefault="003833B9" w:rsidP="001C4485">
      <w:pPr>
        <w:spacing w:after="120"/>
        <w:jc w:val="both"/>
        <w:rPr>
          <w:rFonts w:ascii="Arial" w:hAnsi="Arial" w:cs="Arial"/>
          <w:bCs/>
          <w:color w:val="1F497D" w:themeColor="text2"/>
          <w:sz w:val="22"/>
          <w:szCs w:val="22"/>
        </w:rPr>
      </w:pPr>
    </w:p>
    <w:p w14:paraId="31D1BD98" w14:textId="1BF0FB7C" w:rsidR="00CC689B" w:rsidRPr="000810FD" w:rsidRDefault="00FD7DB7" w:rsidP="001C4485">
      <w:pPr>
        <w:spacing w:after="120"/>
        <w:jc w:val="both"/>
        <w:rPr>
          <w:rFonts w:ascii="Arial" w:hAnsi="Arial" w:cs="Arial"/>
          <w:b/>
          <w:bCs/>
          <w:color w:val="1F497D" w:themeColor="text2"/>
        </w:rPr>
      </w:pPr>
      <w:r w:rsidRPr="000810FD">
        <w:rPr>
          <w:rFonts w:ascii="Arial" w:hAnsi="Arial" w:cs="Arial"/>
          <w:b/>
          <w:bCs/>
          <w:color w:val="1F497D" w:themeColor="text2"/>
        </w:rPr>
        <w:t>L</w:t>
      </w:r>
      <w:r w:rsidR="003833B9" w:rsidRPr="000810FD">
        <w:rPr>
          <w:rFonts w:ascii="Arial" w:hAnsi="Arial" w:cs="Arial"/>
          <w:b/>
          <w:bCs/>
          <w:color w:val="1F497D" w:themeColor="text2"/>
        </w:rPr>
        <w:t>a</w:t>
      </w:r>
      <w:r w:rsidR="00CC689B" w:rsidRPr="000810FD">
        <w:rPr>
          <w:rFonts w:ascii="Arial" w:hAnsi="Arial" w:cs="Arial"/>
          <w:b/>
          <w:bCs/>
          <w:color w:val="1F497D" w:themeColor="text2"/>
        </w:rPr>
        <w:t xml:space="preserve"> rilevazione su Separazioni e</w:t>
      </w:r>
      <w:r w:rsidRPr="000810FD">
        <w:rPr>
          <w:rFonts w:ascii="Arial" w:hAnsi="Arial" w:cs="Arial"/>
          <w:b/>
          <w:bCs/>
          <w:color w:val="1F497D" w:themeColor="text2"/>
        </w:rPr>
        <w:t xml:space="preserve"> </w:t>
      </w:r>
      <w:r w:rsidR="00CC689B" w:rsidRPr="000810FD">
        <w:rPr>
          <w:rFonts w:ascii="Arial" w:hAnsi="Arial" w:cs="Arial"/>
          <w:b/>
          <w:bCs/>
          <w:color w:val="1F497D" w:themeColor="text2"/>
        </w:rPr>
        <w:t>Divorzi</w:t>
      </w:r>
    </w:p>
    <w:p w14:paraId="26E80F98" w14:textId="77777777" w:rsidR="008D6D52" w:rsidRPr="00574FC2" w:rsidRDefault="008D6D52" w:rsidP="001C4485">
      <w:pPr>
        <w:spacing w:after="120"/>
        <w:jc w:val="both"/>
        <w:rPr>
          <w:rFonts w:ascii="Arial" w:hAnsi="Arial" w:cs="Arial"/>
          <w:b/>
          <w:bCs/>
          <w:color w:val="1F497D" w:themeColor="text2"/>
          <w:sz w:val="22"/>
          <w:szCs w:val="22"/>
        </w:rPr>
      </w:pPr>
      <w:r w:rsidRPr="00574FC2">
        <w:rPr>
          <w:rFonts w:ascii="Arial" w:hAnsi="Arial" w:cs="Arial"/>
          <w:b/>
          <w:bCs/>
          <w:color w:val="1F497D" w:themeColor="text2"/>
          <w:sz w:val="22"/>
          <w:szCs w:val="22"/>
        </w:rPr>
        <w:t>Obiettivi conoscitivi e quadro di riferimento</w:t>
      </w:r>
    </w:p>
    <w:p w14:paraId="7AD390BA" w14:textId="0B6C2131" w:rsidR="008D6D52" w:rsidRDefault="008D6D52" w:rsidP="001C4485">
      <w:pPr>
        <w:spacing w:after="120"/>
        <w:jc w:val="both"/>
        <w:rPr>
          <w:rFonts w:ascii="Arial" w:hAnsi="Arial" w:cs="Arial"/>
          <w:bCs/>
          <w:sz w:val="20"/>
          <w:szCs w:val="20"/>
        </w:rPr>
      </w:pPr>
      <w:r w:rsidRPr="008D6D52">
        <w:rPr>
          <w:rFonts w:ascii="Arial" w:hAnsi="Arial" w:cs="Arial"/>
          <w:bCs/>
          <w:sz w:val="20"/>
          <w:szCs w:val="20"/>
        </w:rPr>
        <w:t>La rilevazione delle separazioni personali dei coniugi e la rilevazione degli scioglimenti e cessazioni degli effetti civili del matrimonio (divorzi) hanno come obiettivo il monitoraggio dell’instabilità coniugale e lo studio del contesto socio-economico in cui questa avviene.</w:t>
      </w:r>
      <w:r>
        <w:rPr>
          <w:rFonts w:ascii="Arial" w:hAnsi="Arial" w:cs="Arial"/>
          <w:bCs/>
          <w:sz w:val="20"/>
          <w:szCs w:val="20"/>
        </w:rPr>
        <w:t xml:space="preserve"> </w:t>
      </w:r>
      <w:r w:rsidRPr="008D6D52">
        <w:rPr>
          <w:rFonts w:ascii="Arial" w:hAnsi="Arial" w:cs="Arial"/>
          <w:bCs/>
          <w:sz w:val="20"/>
          <w:szCs w:val="20"/>
        </w:rPr>
        <w:t>I dati rilevati consentono di analizzare le diverse componenti del fenomeno: procedimento e ricorso all’assistenza legale, matrimonio all’origine, caratteristiche dei coniugi ed eventuali figli coinvolti, provvedimenti economici quali il contributo per il mantenimento e l’assegnazione della casa coniugale. Queste informazioni permettono di far luce sulle modifiche strutturali e sulle tendenze recenti relativamente allo scioglimento dei matrimoni formalizzato a seguito di un iter giudiziario o extra-giudiziale.</w:t>
      </w:r>
      <w:r w:rsidR="006141F8">
        <w:rPr>
          <w:rFonts w:ascii="Arial" w:hAnsi="Arial" w:cs="Arial"/>
          <w:bCs/>
          <w:sz w:val="20"/>
          <w:szCs w:val="20"/>
        </w:rPr>
        <w:t xml:space="preserve"> Le rilevazioni sono inserite nel Programma Statistico Nazionale (codice IST-02798).</w:t>
      </w:r>
    </w:p>
    <w:p w14:paraId="4CEA5CC2" w14:textId="06EC8098" w:rsidR="00714AFD" w:rsidRDefault="00656424" w:rsidP="001C4485">
      <w:pPr>
        <w:spacing w:after="120"/>
        <w:jc w:val="both"/>
        <w:rPr>
          <w:rFonts w:ascii="Arial" w:hAnsi="Arial" w:cs="Arial"/>
          <w:bCs/>
          <w:sz w:val="20"/>
          <w:szCs w:val="20"/>
        </w:rPr>
      </w:pPr>
      <w:r w:rsidRPr="00656424">
        <w:rPr>
          <w:rFonts w:ascii="Arial" w:hAnsi="Arial" w:cs="Arial"/>
          <w:bCs/>
          <w:sz w:val="20"/>
          <w:szCs w:val="20"/>
        </w:rPr>
        <w:t>L’Istat rileva le separazioni e i divorzi condotti pr</w:t>
      </w:r>
      <w:r w:rsidR="006B0836">
        <w:rPr>
          <w:rFonts w:ascii="Arial" w:hAnsi="Arial" w:cs="Arial"/>
          <w:bCs/>
          <w:sz w:val="20"/>
          <w:szCs w:val="20"/>
        </w:rPr>
        <w:t>esso le cancellerie civili dei T</w:t>
      </w:r>
      <w:r w:rsidRPr="00656424">
        <w:rPr>
          <w:rFonts w:ascii="Arial" w:hAnsi="Arial" w:cs="Arial"/>
          <w:bCs/>
          <w:sz w:val="20"/>
          <w:szCs w:val="20"/>
        </w:rPr>
        <w:t>ribunali della Repubblica, raccogliendo i dati relativi a ogni singolo procedimento concluso dal punto di vista giudiziario nell’anno di riferimento (tramite, rispettivamente, i modell</w:t>
      </w:r>
      <w:r>
        <w:rPr>
          <w:rFonts w:ascii="Arial" w:hAnsi="Arial" w:cs="Arial"/>
          <w:bCs/>
          <w:sz w:val="20"/>
          <w:szCs w:val="20"/>
        </w:rPr>
        <w:t>i Istat M. 252 e Istat M. 253).</w:t>
      </w:r>
      <w:r w:rsidR="00FC445C">
        <w:rPr>
          <w:rFonts w:ascii="Arial" w:hAnsi="Arial" w:cs="Arial"/>
          <w:bCs/>
          <w:sz w:val="20"/>
          <w:szCs w:val="20"/>
        </w:rPr>
        <w:t xml:space="preserve"> </w:t>
      </w:r>
      <w:r w:rsidRPr="00656424">
        <w:rPr>
          <w:rFonts w:ascii="Arial" w:hAnsi="Arial" w:cs="Arial"/>
          <w:bCs/>
          <w:sz w:val="20"/>
          <w:szCs w:val="20"/>
        </w:rPr>
        <w:t>A seguito dell’introduzione della normativa sugli accordi extragiudiziali in tema di separazione e divorzio (</w:t>
      </w:r>
      <w:r w:rsidR="003E32B7">
        <w:rPr>
          <w:rFonts w:ascii="Arial" w:hAnsi="Arial" w:cs="Arial"/>
          <w:bCs/>
          <w:sz w:val="20"/>
          <w:szCs w:val="20"/>
        </w:rPr>
        <w:t>D</w:t>
      </w:r>
      <w:r w:rsidRPr="00656424">
        <w:rPr>
          <w:rFonts w:ascii="Arial" w:hAnsi="Arial" w:cs="Arial"/>
          <w:bCs/>
          <w:sz w:val="20"/>
          <w:szCs w:val="20"/>
        </w:rPr>
        <w:t>ecreto</w:t>
      </w:r>
      <w:r w:rsidR="003E32B7">
        <w:rPr>
          <w:rFonts w:ascii="Arial" w:hAnsi="Arial" w:cs="Arial"/>
          <w:bCs/>
          <w:sz w:val="20"/>
          <w:szCs w:val="20"/>
        </w:rPr>
        <w:t xml:space="preserve"> </w:t>
      </w:r>
      <w:r w:rsidRPr="00656424">
        <w:rPr>
          <w:rFonts w:ascii="Arial" w:hAnsi="Arial" w:cs="Arial"/>
          <w:bCs/>
          <w:sz w:val="20"/>
          <w:szCs w:val="20"/>
        </w:rPr>
        <w:t>legge 12 settembre 2014, n.132), una parte della procedura amministrativa relativa alle separazioni e ai divorzi, quella consensuale, non è p</w:t>
      </w:r>
      <w:r w:rsidR="006B0836">
        <w:rPr>
          <w:rFonts w:ascii="Arial" w:hAnsi="Arial" w:cs="Arial"/>
          <w:bCs/>
          <w:sz w:val="20"/>
          <w:szCs w:val="20"/>
        </w:rPr>
        <w:t>iù di competenza esclusiva dei T</w:t>
      </w:r>
      <w:r w:rsidRPr="00656424">
        <w:rPr>
          <w:rFonts w:ascii="Arial" w:hAnsi="Arial" w:cs="Arial"/>
          <w:bCs/>
          <w:sz w:val="20"/>
          <w:szCs w:val="20"/>
        </w:rPr>
        <w:t xml:space="preserve">ribunali e vede oggi coinvolti, direttamente o indirettamente, anche gli </w:t>
      </w:r>
      <w:r w:rsidR="005C35E9">
        <w:rPr>
          <w:rFonts w:ascii="Arial" w:hAnsi="Arial" w:cs="Arial"/>
          <w:bCs/>
          <w:sz w:val="20"/>
          <w:szCs w:val="20"/>
        </w:rPr>
        <w:t>U</w:t>
      </w:r>
      <w:r w:rsidRPr="00656424">
        <w:rPr>
          <w:rFonts w:ascii="Arial" w:hAnsi="Arial" w:cs="Arial"/>
          <w:bCs/>
          <w:sz w:val="20"/>
          <w:szCs w:val="20"/>
        </w:rPr>
        <w:t xml:space="preserve">fficiali di </w:t>
      </w:r>
      <w:r w:rsidR="005C35E9">
        <w:rPr>
          <w:rFonts w:ascii="Arial" w:hAnsi="Arial" w:cs="Arial"/>
          <w:bCs/>
          <w:sz w:val="20"/>
          <w:szCs w:val="20"/>
        </w:rPr>
        <w:t>S</w:t>
      </w:r>
      <w:r w:rsidRPr="00656424">
        <w:rPr>
          <w:rFonts w:ascii="Arial" w:hAnsi="Arial" w:cs="Arial"/>
          <w:bCs/>
          <w:sz w:val="20"/>
          <w:szCs w:val="20"/>
        </w:rPr>
        <w:t xml:space="preserve">tato </w:t>
      </w:r>
      <w:r w:rsidR="005C35E9">
        <w:rPr>
          <w:rFonts w:ascii="Arial" w:hAnsi="Arial" w:cs="Arial"/>
          <w:bCs/>
          <w:sz w:val="20"/>
          <w:szCs w:val="20"/>
        </w:rPr>
        <w:t>C</w:t>
      </w:r>
      <w:r w:rsidRPr="00656424">
        <w:rPr>
          <w:rFonts w:ascii="Arial" w:hAnsi="Arial" w:cs="Arial"/>
          <w:bCs/>
          <w:sz w:val="20"/>
          <w:szCs w:val="20"/>
        </w:rPr>
        <w:t>ivile</w:t>
      </w:r>
      <w:r>
        <w:rPr>
          <w:rFonts w:ascii="Arial" w:hAnsi="Arial" w:cs="Arial"/>
          <w:bCs/>
          <w:sz w:val="20"/>
          <w:szCs w:val="20"/>
        </w:rPr>
        <w:t xml:space="preserve"> che trasmettono il modello Istat SC.6-12.sd) con </w:t>
      </w:r>
      <w:r w:rsidRPr="00656424">
        <w:rPr>
          <w:rFonts w:ascii="Arial" w:hAnsi="Arial" w:cs="Arial"/>
          <w:bCs/>
          <w:sz w:val="20"/>
          <w:szCs w:val="20"/>
        </w:rPr>
        <w:t>due differenti percorsi a seconda che si tratti di:</w:t>
      </w:r>
      <w:r w:rsidR="008357DD">
        <w:rPr>
          <w:rFonts w:ascii="Arial" w:hAnsi="Arial" w:cs="Arial"/>
          <w:bCs/>
          <w:sz w:val="20"/>
          <w:szCs w:val="20"/>
        </w:rPr>
        <w:t xml:space="preserve"> </w:t>
      </w:r>
      <w:r w:rsidRPr="00656424">
        <w:rPr>
          <w:rFonts w:ascii="Arial" w:hAnsi="Arial" w:cs="Arial"/>
          <w:bCs/>
          <w:sz w:val="20"/>
          <w:szCs w:val="20"/>
        </w:rPr>
        <w:t>accord</w:t>
      </w:r>
      <w:r w:rsidR="008357DD">
        <w:rPr>
          <w:rFonts w:ascii="Arial" w:hAnsi="Arial" w:cs="Arial"/>
          <w:bCs/>
          <w:sz w:val="20"/>
          <w:szCs w:val="20"/>
        </w:rPr>
        <w:t>o</w:t>
      </w:r>
      <w:r w:rsidRPr="00656424">
        <w:rPr>
          <w:rFonts w:ascii="Arial" w:hAnsi="Arial" w:cs="Arial"/>
          <w:bCs/>
          <w:sz w:val="20"/>
          <w:szCs w:val="20"/>
        </w:rPr>
        <w:t xml:space="preserve"> extragiudiziali di separazione o divorzio </w:t>
      </w:r>
      <w:r w:rsidR="00315EE7">
        <w:rPr>
          <w:rFonts w:ascii="Arial" w:hAnsi="Arial" w:cs="Arial"/>
          <w:bCs/>
          <w:sz w:val="20"/>
          <w:szCs w:val="20"/>
        </w:rPr>
        <w:t>-</w:t>
      </w:r>
      <w:r w:rsidRPr="00656424">
        <w:rPr>
          <w:rFonts w:ascii="Arial" w:hAnsi="Arial" w:cs="Arial"/>
          <w:bCs/>
          <w:sz w:val="20"/>
          <w:szCs w:val="20"/>
        </w:rPr>
        <w:t xml:space="preserve"> in presenza di figli minori o maggiorenni incapaci o portatori di handicap grave ovvero economicamente non autosufficienti o in presenza di accordi di trasferimento patrimoniale tra i coniugi </w:t>
      </w:r>
      <w:r w:rsidR="00315EE7">
        <w:rPr>
          <w:rFonts w:ascii="Arial" w:hAnsi="Arial" w:cs="Arial"/>
          <w:bCs/>
          <w:sz w:val="20"/>
          <w:szCs w:val="20"/>
        </w:rPr>
        <w:t>-</w:t>
      </w:r>
      <w:r w:rsidRPr="00656424">
        <w:rPr>
          <w:rFonts w:ascii="Arial" w:hAnsi="Arial" w:cs="Arial"/>
          <w:bCs/>
          <w:sz w:val="20"/>
          <w:szCs w:val="20"/>
        </w:rPr>
        <w:t xml:space="preserve"> con procedura di negoziazione assistita dagli avvocati i quali, entro 10 giorni dalla data di comunicazione alle parti del provvedimento del Procuratore della Repubblica o del Presidente del Tribunale, devono trasmettere l’accordo, munito del nullaosta, all’Ufficio di Stato Civile (accordi ex art.6);</w:t>
      </w:r>
      <w:r w:rsidR="008357DD">
        <w:rPr>
          <w:rFonts w:ascii="Arial" w:hAnsi="Arial" w:cs="Arial"/>
          <w:bCs/>
          <w:sz w:val="20"/>
          <w:szCs w:val="20"/>
        </w:rPr>
        <w:t xml:space="preserve"> accordo</w:t>
      </w:r>
      <w:r w:rsidRPr="00656424">
        <w:rPr>
          <w:rFonts w:ascii="Arial" w:hAnsi="Arial" w:cs="Arial"/>
          <w:bCs/>
          <w:sz w:val="20"/>
          <w:szCs w:val="20"/>
        </w:rPr>
        <w:t xml:space="preserve"> extragiudiziali di separazione o divorzio con procedura diretta di fronte agli </w:t>
      </w:r>
      <w:r w:rsidR="001024E9">
        <w:rPr>
          <w:rFonts w:ascii="Arial" w:hAnsi="Arial" w:cs="Arial"/>
          <w:bCs/>
          <w:sz w:val="20"/>
          <w:szCs w:val="20"/>
        </w:rPr>
        <w:t>U</w:t>
      </w:r>
      <w:r w:rsidRPr="00656424">
        <w:rPr>
          <w:rFonts w:ascii="Arial" w:hAnsi="Arial" w:cs="Arial"/>
          <w:bCs/>
          <w:sz w:val="20"/>
          <w:szCs w:val="20"/>
        </w:rPr>
        <w:t xml:space="preserve">fficiali di </w:t>
      </w:r>
      <w:r w:rsidR="001024E9">
        <w:rPr>
          <w:rFonts w:ascii="Arial" w:hAnsi="Arial" w:cs="Arial"/>
          <w:bCs/>
          <w:sz w:val="20"/>
          <w:szCs w:val="20"/>
        </w:rPr>
        <w:t>S</w:t>
      </w:r>
      <w:r w:rsidRPr="00656424">
        <w:rPr>
          <w:rFonts w:ascii="Arial" w:hAnsi="Arial" w:cs="Arial"/>
          <w:bCs/>
          <w:sz w:val="20"/>
          <w:szCs w:val="20"/>
        </w:rPr>
        <w:t xml:space="preserve">tato </w:t>
      </w:r>
      <w:r w:rsidR="001024E9">
        <w:rPr>
          <w:rFonts w:ascii="Arial" w:hAnsi="Arial" w:cs="Arial"/>
          <w:bCs/>
          <w:sz w:val="20"/>
          <w:szCs w:val="20"/>
        </w:rPr>
        <w:t>C</w:t>
      </w:r>
      <w:r w:rsidRPr="00656424">
        <w:rPr>
          <w:rFonts w:ascii="Arial" w:hAnsi="Arial" w:cs="Arial"/>
          <w:bCs/>
          <w:sz w:val="20"/>
          <w:szCs w:val="20"/>
        </w:rPr>
        <w:t>ivile (accordi ex art.12).</w:t>
      </w:r>
    </w:p>
    <w:p w14:paraId="45DE5C64" w14:textId="77777777" w:rsidR="008357DD" w:rsidRDefault="008357DD"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Processo e metodologie</w:t>
      </w:r>
    </w:p>
    <w:p w14:paraId="5A40D5EE" w14:textId="0F0C9F0D" w:rsidR="008357DD" w:rsidRPr="00656424" w:rsidRDefault="008357DD" w:rsidP="001C4485">
      <w:pPr>
        <w:spacing w:after="120"/>
        <w:jc w:val="both"/>
        <w:rPr>
          <w:rFonts w:ascii="Arial" w:hAnsi="Arial" w:cs="Arial"/>
          <w:bCs/>
          <w:sz w:val="20"/>
          <w:szCs w:val="20"/>
        </w:rPr>
      </w:pPr>
      <w:r w:rsidRPr="00656424">
        <w:rPr>
          <w:rFonts w:ascii="Arial" w:hAnsi="Arial" w:cs="Arial"/>
          <w:bCs/>
          <w:sz w:val="20"/>
          <w:szCs w:val="20"/>
        </w:rPr>
        <w:t>Tutte le rilevazioni delle separazi</w:t>
      </w:r>
      <w:r w:rsidR="006B0836">
        <w:rPr>
          <w:rFonts w:ascii="Arial" w:hAnsi="Arial" w:cs="Arial"/>
          <w:bCs/>
          <w:sz w:val="20"/>
          <w:szCs w:val="20"/>
        </w:rPr>
        <w:t>oni e dei divorzi sia presso i T</w:t>
      </w:r>
      <w:r w:rsidRPr="00656424">
        <w:rPr>
          <w:rFonts w:ascii="Arial" w:hAnsi="Arial" w:cs="Arial"/>
          <w:bCs/>
          <w:sz w:val="20"/>
          <w:szCs w:val="20"/>
        </w:rPr>
        <w:t>ribunali, sia extragiudiziali hanno carattere esaustivo.</w:t>
      </w:r>
      <w:r w:rsidR="00FD7DB7">
        <w:rPr>
          <w:rFonts w:ascii="Arial" w:hAnsi="Arial" w:cs="Arial"/>
          <w:bCs/>
          <w:sz w:val="20"/>
          <w:szCs w:val="20"/>
        </w:rPr>
        <w:t xml:space="preserve"> Si tratta di rilevazioni a carattere continuo anche se, ai fini di razionalizzare i flussi, la raccolta dei dati viene cadenzata mensilmente e i dati analizzati, rilasciati e diffusi annualmente.</w:t>
      </w:r>
    </w:p>
    <w:p w14:paraId="045BECCC" w14:textId="75D4348E" w:rsidR="008357DD" w:rsidRPr="00656424" w:rsidRDefault="008357DD" w:rsidP="001C4485">
      <w:pPr>
        <w:spacing w:after="120"/>
        <w:jc w:val="both"/>
        <w:rPr>
          <w:rFonts w:ascii="Arial" w:hAnsi="Arial" w:cs="Arial"/>
          <w:bCs/>
          <w:sz w:val="20"/>
          <w:szCs w:val="20"/>
        </w:rPr>
      </w:pPr>
      <w:r w:rsidRPr="00656424">
        <w:rPr>
          <w:rFonts w:ascii="Arial" w:hAnsi="Arial" w:cs="Arial"/>
          <w:bCs/>
          <w:sz w:val="20"/>
          <w:szCs w:val="20"/>
        </w:rPr>
        <w:t>Per le separazioni e</w:t>
      </w:r>
      <w:r w:rsidR="006B0836">
        <w:rPr>
          <w:rFonts w:ascii="Arial" w:hAnsi="Arial" w:cs="Arial"/>
          <w:bCs/>
          <w:sz w:val="20"/>
          <w:szCs w:val="20"/>
        </w:rPr>
        <w:t xml:space="preserve"> i divorzi effettuati presso i T</w:t>
      </w:r>
      <w:r w:rsidRPr="00656424">
        <w:rPr>
          <w:rFonts w:ascii="Arial" w:hAnsi="Arial" w:cs="Arial"/>
          <w:bCs/>
          <w:sz w:val="20"/>
          <w:szCs w:val="20"/>
        </w:rPr>
        <w:t>ribunali la rilevazione è organizzata con due modalità</w:t>
      </w:r>
      <w:r>
        <w:rPr>
          <w:rFonts w:ascii="Arial" w:hAnsi="Arial" w:cs="Arial"/>
          <w:bCs/>
          <w:sz w:val="20"/>
          <w:szCs w:val="20"/>
        </w:rPr>
        <w:t xml:space="preserve"> distinte di raccolta dei dati: </w:t>
      </w:r>
      <w:r w:rsidRPr="00656424">
        <w:rPr>
          <w:rFonts w:ascii="Arial" w:hAnsi="Arial" w:cs="Arial"/>
          <w:bCs/>
          <w:sz w:val="20"/>
          <w:szCs w:val="20"/>
        </w:rPr>
        <w:t xml:space="preserve">in ottemperanza agli obblighi di legge previsti in materia di “dematerializzazione delle comunicazioni tra pubbliche amministrazioni” la modalità principale è la raccolta dei dati via </w:t>
      </w:r>
      <w:r w:rsidRPr="000810FD">
        <w:rPr>
          <w:rFonts w:ascii="Arial" w:hAnsi="Arial" w:cs="Arial"/>
          <w:bCs/>
          <w:i/>
          <w:iCs/>
          <w:sz w:val="20"/>
          <w:szCs w:val="20"/>
        </w:rPr>
        <w:t>web</w:t>
      </w:r>
      <w:r w:rsidR="00FC445C">
        <w:rPr>
          <w:rFonts w:ascii="Arial" w:hAnsi="Arial" w:cs="Arial"/>
          <w:bCs/>
          <w:sz w:val="20"/>
          <w:szCs w:val="20"/>
        </w:rPr>
        <w:t>, tramite la piattaforma Istat</w:t>
      </w:r>
      <w:r w:rsidRPr="00656424">
        <w:rPr>
          <w:rFonts w:ascii="Arial" w:hAnsi="Arial" w:cs="Arial"/>
          <w:bCs/>
          <w:sz w:val="20"/>
          <w:szCs w:val="20"/>
        </w:rPr>
        <w:t xml:space="preserve"> </w:t>
      </w:r>
      <w:hyperlink r:id="rId38" w:history="1">
        <w:r w:rsidR="00FD7DB7" w:rsidRPr="00486E7C">
          <w:rPr>
            <w:rStyle w:val="Collegamentoipertestuale"/>
            <w:rFonts w:ascii="Arial" w:hAnsi="Arial" w:cs="Arial"/>
            <w:bCs/>
            <w:sz w:val="20"/>
            <w:szCs w:val="20"/>
          </w:rPr>
          <w:t>https:</w:t>
        </w:r>
        <w:r w:rsidR="00FC445C" w:rsidRPr="00486E7C">
          <w:rPr>
            <w:rStyle w:val="Collegamentoipertestuale"/>
            <w:rFonts w:ascii="Arial" w:hAnsi="Arial" w:cs="Arial"/>
            <w:bCs/>
            <w:sz w:val="20"/>
            <w:szCs w:val="20"/>
          </w:rPr>
          <w:t>//gino.istat.it/giustizia/</w:t>
        </w:r>
      </w:hyperlink>
      <w:r w:rsidR="00FC445C">
        <w:rPr>
          <w:rFonts w:ascii="Arial" w:hAnsi="Arial" w:cs="Arial"/>
          <w:bCs/>
          <w:sz w:val="20"/>
          <w:szCs w:val="20"/>
        </w:rPr>
        <w:t>,</w:t>
      </w:r>
      <w:r w:rsidR="00FD7DB7">
        <w:rPr>
          <w:rFonts w:ascii="Arial" w:hAnsi="Arial" w:cs="Arial"/>
          <w:bCs/>
          <w:sz w:val="20"/>
          <w:szCs w:val="20"/>
        </w:rPr>
        <w:t xml:space="preserve"> </w:t>
      </w:r>
      <w:r>
        <w:rPr>
          <w:rFonts w:ascii="Arial" w:hAnsi="Arial" w:cs="Arial"/>
          <w:bCs/>
          <w:sz w:val="20"/>
          <w:szCs w:val="20"/>
        </w:rPr>
        <w:t xml:space="preserve">attiva dal mese di aprile 2018; </w:t>
      </w:r>
      <w:r w:rsidRPr="00656424">
        <w:rPr>
          <w:rFonts w:ascii="Arial" w:hAnsi="Arial" w:cs="Arial"/>
          <w:bCs/>
          <w:sz w:val="20"/>
          <w:szCs w:val="20"/>
        </w:rPr>
        <w:t xml:space="preserve">in caso di impedimento oggettivo nell’utilizzo di questa modalità è prevista, in alternativa, la compilazione e l’invio dei dati </w:t>
      </w:r>
      <w:r w:rsidR="006141F8">
        <w:rPr>
          <w:rFonts w:ascii="Arial" w:hAnsi="Arial" w:cs="Arial"/>
          <w:bCs/>
          <w:sz w:val="20"/>
          <w:szCs w:val="20"/>
        </w:rPr>
        <w:t>in</w:t>
      </w:r>
      <w:r w:rsidRPr="00656424">
        <w:rPr>
          <w:rFonts w:ascii="Arial" w:hAnsi="Arial" w:cs="Arial"/>
          <w:bCs/>
          <w:sz w:val="20"/>
          <w:szCs w:val="20"/>
        </w:rPr>
        <w:t xml:space="preserve"> modalità cartacea.</w:t>
      </w:r>
    </w:p>
    <w:p w14:paraId="74AADF2E" w14:textId="3A0DF1B4" w:rsidR="008357DD" w:rsidRDefault="008357DD" w:rsidP="001C4485">
      <w:pPr>
        <w:spacing w:after="120"/>
        <w:jc w:val="both"/>
        <w:rPr>
          <w:rFonts w:ascii="Arial" w:hAnsi="Arial" w:cs="Arial"/>
          <w:bCs/>
          <w:sz w:val="20"/>
          <w:szCs w:val="20"/>
        </w:rPr>
      </w:pPr>
      <w:r w:rsidRPr="00656424">
        <w:rPr>
          <w:rFonts w:ascii="Arial" w:hAnsi="Arial" w:cs="Arial"/>
          <w:bCs/>
          <w:sz w:val="20"/>
          <w:szCs w:val="20"/>
        </w:rPr>
        <w:t xml:space="preserve">Per le separazioni e i divorzi effettuati presso i </w:t>
      </w:r>
      <w:r w:rsidR="00486E7C">
        <w:rPr>
          <w:rFonts w:ascii="Arial" w:hAnsi="Arial" w:cs="Arial"/>
          <w:bCs/>
          <w:sz w:val="20"/>
          <w:szCs w:val="20"/>
        </w:rPr>
        <w:t>C</w:t>
      </w:r>
      <w:r w:rsidRPr="00656424">
        <w:rPr>
          <w:rFonts w:ascii="Arial" w:hAnsi="Arial" w:cs="Arial"/>
          <w:bCs/>
          <w:sz w:val="20"/>
          <w:szCs w:val="20"/>
        </w:rPr>
        <w:t>omuni</w:t>
      </w:r>
      <w:r w:rsidR="00FD7DB7">
        <w:rPr>
          <w:rFonts w:ascii="Arial" w:hAnsi="Arial" w:cs="Arial"/>
          <w:bCs/>
          <w:sz w:val="20"/>
          <w:szCs w:val="20"/>
        </w:rPr>
        <w:t xml:space="preserve"> (ex art. 6 e ex art. 12)</w:t>
      </w:r>
      <w:r w:rsidRPr="00656424">
        <w:rPr>
          <w:rFonts w:ascii="Arial" w:hAnsi="Arial" w:cs="Arial"/>
          <w:bCs/>
          <w:sz w:val="20"/>
          <w:szCs w:val="20"/>
        </w:rPr>
        <w:t xml:space="preserve"> </w:t>
      </w:r>
      <w:r w:rsidR="00FD7DB7">
        <w:rPr>
          <w:rFonts w:ascii="Arial" w:hAnsi="Arial" w:cs="Arial"/>
          <w:bCs/>
          <w:sz w:val="20"/>
          <w:szCs w:val="20"/>
        </w:rPr>
        <w:t>la compilazione, acquisizione e trasmissione dei modelli avviene esclusivamente per via telematica a cura degli Ufficiali di Stato civile, attraverso un’utenza personalizzata collegandosi alla piattaforma creata ad hoc dall’Istat per le “Indagini demografiche di Stato Civile” e disponibile al link:</w:t>
      </w:r>
      <w:r w:rsidR="00315EE7">
        <w:rPr>
          <w:rFonts w:ascii="Arial" w:hAnsi="Arial" w:cs="Arial"/>
          <w:bCs/>
          <w:sz w:val="20"/>
          <w:szCs w:val="20"/>
        </w:rPr>
        <w:t xml:space="preserve"> </w:t>
      </w:r>
      <w:hyperlink r:id="rId39" w:history="1">
        <w:r w:rsidR="00FD7DB7">
          <w:rPr>
            <w:rStyle w:val="Collegamentoipertestuale"/>
            <w:rFonts w:ascii="Arial" w:hAnsi="Arial" w:cs="Arial"/>
            <w:bCs/>
            <w:sz w:val="20"/>
            <w:szCs w:val="20"/>
          </w:rPr>
          <w:t>https://gino.istat.it/statocivile/</w:t>
        </w:r>
      </w:hyperlink>
      <w:r w:rsidR="00FD7DB7">
        <w:rPr>
          <w:rFonts w:ascii="Arial" w:hAnsi="Arial" w:cs="Arial"/>
          <w:bCs/>
          <w:sz w:val="20"/>
          <w:szCs w:val="20"/>
        </w:rPr>
        <w:t>.</w:t>
      </w:r>
    </w:p>
    <w:p w14:paraId="183CA294" w14:textId="77777777" w:rsidR="008357DD" w:rsidRDefault="008357DD" w:rsidP="001C4485">
      <w:pPr>
        <w:spacing w:after="120"/>
        <w:jc w:val="both"/>
        <w:rPr>
          <w:rFonts w:ascii="Arial" w:hAnsi="Arial" w:cs="Arial"/>
          <w:bCs/>
          <w:sz w:val="20"/>
          <w:szCs w:val="20"/>
        </w:rPr>
      </w:pPr>
      <w:r>
        <w:rPr>
          <w:rFonts w:ascii="Arial" w:hAnsi="Arial" w:cs="Arial"/>
          <w:bCs/>
          <w:sz w:val="20"/>
          <w:szCs w:val="20"/>
        </w:rPr>
        <w:t>Il controllo della copertura dei dati avviene considerando sia la rilevazione riepilogativa mensile sia la serie storica degli eventi per ciascun Comune. La correzione delle mancate risposte totali e parziali avviene con metodi misti: deterministici nel caso di errori sistematici e probabilistici nel caso di errori stocastici.</w:t>
      </w:r>
    </w:p>
    <w:p w14:paraId="50BE4444" w14:textId="77777777" w:rsidR="008357DD" w:rsidRDefault="008357DD"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Classificazioni e fonti complementari</w:t>
      </w:r>
    </w:p>
    <w:p w14:paraId="487F1658" w14:textId="77777777"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Nella rilevazione vengono utilizzate principalmente due classificazioni Istat:</w:t>
      </w:r>
    </w:p>
    <w:p w14:paraId="4E8919CA" w14:textId="43FE5FDB"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 xml:space="preserve">La classificazione dei codici comunali (codici Istat a 6 cifre con codice provincia e codice </w:t>
      </w:r>
      <w:r w:rsidR="00B11612">
        <w:rPr>
          <w:rFonts w:ascii="Arial" w:hAnsi="Arial" w:cs="Arial"/>
          <w:bCs/>
          <w:sz w:val="20"/>
          <w:szCs w:val="20"/>
        </w:rPr>
        <w:t>C</w:t>
      </w:r>
      <w:r w:rsidRPr="00E22D54">
        <w:rPr>
          <w:rFonts w:ascii="Arial" w:hAnsi="Arial" w:cs="Arial"/>
          <w:bCs/>
          <w:sz w:val="20"/>
          <w:szCs w:val="20"/>
        </w:rPr>
        <w:t xml:space="preserve">omune): </w:t>
      </w:r>
      <w:hyperlink r:id="rId40" w:history="1">
        <w:r w:rsidRPr="00E22D54">
          <w:rPr>
            <w:rStyle w:val="Collegamentoipertestuale"/>
            <w:rFonts w:ascii="Arial" w:hAnsi="Arial" w:cs="Arial"/>
            <w:bCs/>
            <w:sz w:val="20"/>
            <w:szCs w:val="20"/>
          </w:rPr>
          <w:t>https://www.istat.it/it/archivio/6789</w:t>
        </w:r>
      </w:hyperlink>
    </w:p>
    <w:p w14:paraId="7CAF42D4" w14:textId="1EFA17B4"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 xml:space="preserve">La classificazione degli Stati esteri (codici Istat </w:t>
      </w:r>
      <w:r w:rsidR="00DE1E47">
        <w:rPr>
          <w:rFonts w:ascii="Arial" w:hAnsi="Arial" w:cs="Arial"/>
          <w:bCs/>
          <w:sz w:val="20"/>
          <w:szCs w:val="20"/>
        </w:rPr>
        <w:t>a</w:t>
      </w:r>
      <w:r w:rsidRPr="00E22D54">
        <w:rPr>
          <w:rFonts w:ascii="Arial" w:hAnsi="Arial" w:cs="Arial"/>
          <w:bCs/>
          <w:sz w:val="20"/>
          <w:szCs w:val="20"/>
        </w:rPr>
        <w:t xml:space="preserve"> 3 cifre) per la codifica univoca delle cittadinanze straniere: </w:t>
      </w:r>
      <w:hyperlink r:id="rId41" w:history="1">
        <w:r w:rsidRPr="00E22D54">
          <w:rPr>
            <w:rStyle w:val="Collegamentoipertestuale"/>
            <w:rFonts w:ascii="Arial" w:hAnsi="Arial" w:cs="Arial"/>
            <w:bCs/>
            <w:sz w:val="20"/>
            <w:szCs w:val="20"/>
          </w:rPr>
          <w:t>https://www.istat.it/it/archivio/6747</w:t>
        </w:r>
      </w:hyperlink>
    </w:p>
    <w:p w14:paraId="6AA3C728" w14:textId="77777777"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 xml:space="preserve">Viene effettuato un costante monitoraggio con i dati contenuti nel modello D.7.A. (Rilevazione degli eventi demografici di Stato Civile) che forniscono, mensilmente e per comune di evento, il numero di unioni civili. </w:t>
      </w:r>
    </w:p>
    <w:p w14:paraId="281C4B62" w14:textId="77777777" w:rsidR="00FA106C" w:rsidRPr="00E22D54" w:rsidRDefault="00FA106C" w:rsidP="001C4485">
      <w:pPr>
        <w:spacing w:after="120"/>
        <w:jc w:val="both"/>
        <w:rPr>
          <w:rFonts w:ascii="Arial" w:hAnsi="Arial" w:cs="Arial"/>
          <w:bCs/>
          <w:sz w:val="20"/>
          <w:szCs w:val="20"/>
        </w:rPr>
      </w:pPr>
      <w:r w:rsidRPr="00E22D54">
        <w:rPr>
          <w:rFonts w:ascii="Arial" w:hAnsi="Arial" w:cs="Arial"/>
          <w:bCs/>
          <w:sz w:val="20"/>
          <w:szCs w:val="20"/>
        </w:rPr>
        <w:t>“Censimento permanente della popolazione”. Anni 2018, 2019 e 2020.</w:t>
      </w:r>
    </w:p>
    <w:p w14:paraId="6084C01F" w14:textId="77777777" w:rsidR="00FA106C" w:rsidRPr="00D63FDD" w:rsidRDefault="00FA106C" w:rsidP="001C4485">
      <w:pPr>
        <w:spacing w:after="120"/>
        <w:jc w:val="both"/>
        <w:rPr>
          <w:rFonts w:ascii="Arial" w:hAnsi="Arial" w:cs="Arial"/>
          <w:bCs/>
          <w:sz w:val="20"/>
          <w:szCs w:val="20"/>
        </w:rPr>
      </w:pPr>
      <w:r w:rsidRPr="00E22D54">
        <w:rPr>
          <w:rFonts w:ascii="Arial" w:hAnsi="Arial" w:cs="Arial"/>
          <w:bCs/>
          <w:sz w:val="20"/>
          <w:szCs w:val="20"/>
        </w:rPr>
        <w:t>“Ricostruzione della popolazione residente per età al 1° gennaio”. Anni 2002-2019</w:t>
      </w:r>
      <w:r w:rsidRPr="00E22D54">
        <w:rPr>
          <w:rFonts w:ascii="Arial" w:hAnsi="Arial" w:cs="Arial"/>
          <w:bCs/>
          <w:sz w:val="20"/>
          <w:szCs w:val="20"/>
        </w:rPr>
        <w:br/>
        <w:t>Ricostruzione del bilancio demografico, anni 2002-2018.</w:t>
      </w:r>
    </w:p>
    <w:p w14:paraId="6C904585" w14:textId="4E30472A" w:rsidR="00D27BCE" w:rsidRDefault="008357DD" w:rsidP="001C4485">
      <w:pPr>
        <w:spacing w:after="120"/>
        <w:jc w:val="both"/>
        <w:rPr>
          <w:rFonts w:ascii="Arial" w:hAnsi="Arial" w:cs="Arial"/>
          <w:bCs/>
          <w:sz w:val="20"/>
          <w:szCs w:val="20"/>
        </w:rPr>
      </w:pPr>
      <w:r w:rsidRPr="00E32DF1">
        <w:rPr>
          <w:rFonts w:ascii="Arial" w:hAnsi="Arial" w:cs="Arial"/>
          <w:bCs/>
          <w:sz w:val="20"/>
          <w:szCs w:val="20"/>
        </w:rPr>
        <w:t>Viene effettuato un co</w:t>
      </w:r>
      <w:r w:rsidR="00D27BCE">
        <w:rPr>
          <w:rFonts w:ascii="Arial" w:hAnsi="Arial" w:cs="Arial"/>
          <w:bCs/>
          <w:sz w:val="20"/>
          <w:szCs w:val="20"/>
        </w:rPr>
        <w:t xml:space="preserve">stante monitoraggio con i dati riepilogativi del </w:t>
      </w:r>
      <w:r w:rsidR="00D27BCE" w:rsidRPr="00D27BCE">
        <w:rPr>
          <w:rFonts w:ascii="Arial" w:hAnsi="Arial" w:cs="Arial"/>
          <w:bCs/>
          <w:sz w:val="20"/>
          <w:szCs w:val="20"/>
        </w:rPr>
        <w:t>Ministero della Giustizia - Dipartimento dell'Organizzazione Giudiziaria del Personale e dei Servizi - Direzione Generale di Statistica e Analisi organizzativa</w:t>
      </w:r>
      <w:r w:rsidR="00D27BCE">
        <w:rPr>
          <w:rFonts w:ascii="Arial" w:hAnsi="Arial" w:cs="Arial"/>
          <w:bCs/>
          <w:sz w:val="20"/>
          <w:szCs w:val="20"/>
        </w:rPr>
        <w:t xml:space="preserve"> che consentono di poter disporre con maggiore tempestività dei dati a livello di singolo Tribunale delle separazioni e dei divorzi per rito di esaurimento</w:t>
      </w:r>
      <w:r w:rsidR="007E3BB1">
        <w:rPr>
          <w:rFonts w:ascii="Arial" w:hAnsi="Arial" w:cs="Arial"/>
          <w:bCs/>
          <w:sz w:val="20"/>
          <w:szCs w:val="20"/>
        </w:rPr>
        <w:t xml:space="preserve"> (consensuali o giudiziali).</w:t>
      </w:r>
    </w:p>
    <w:p w14:paraId="2575412C" w14:textId="77777777" w:rsidR="00FD7DB7" w:rsidRDefault="00FD7DB7"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Diffusione</w:t>
      </w:r>
    </w:p>
    <w:p w14:paraId="5821340D" w14:textId="2E6C88CB" w:rsidR="00FD7DB7" w:rsidRDefault="00FD7DB7" w:rsidP="001C4485">
      <w:pPr>
        <w:spacing w:after="120"/>
        <w:jc w:val="both"/>
        <w:rPr>
          <w:rFonts w:ascii="Arial" w:hAnsi="Arial" w:cs="Arial"/>
          <w:bCs/>
          <w:sz w:val="20"/>
          <w:szCs w:val="20"/>
        </w:rPr>
      </w:pPr>
      <w:r>
        <w:rPr>
          <w:rFonts w:ascii="Arial" w:hAnsi="Arial" w:cs="Arial"/>
          <w:bCs/>
          <w:sz w:val="20"/>
          <w:szCs w:val="20"/>
        </w:rPr>
        <w:t xml:space="preserve">I principali risultati sono disponibili on line consultando il datawarehouse I.Stat all’indirizzo </w:t>
      </w:r>
      <w:hyperlink r:id="rId42" w:history="1">
        <w:r w:rsidRPr="00B11612">
          <w:rPr>
            <w:rStyle w:val="Collegamentoipertestuale"/>
            <w:rFonts w:ascii="Arial" w:hAnsi="Arial" w:cs="Arial"/>
            <w:bCs/>
            <w:sz w:val="20"/>
            <w:szCs w:val="20"/>
          </w:rPr>
          <w:t>http://dati.istat.it/</w:t>
        </w:r>
      </w:hyperlink>
      <w:r>
        <w:rPr>
          <w:rFonts w:ascii="Arial" w:hAnsi="Arial" w:cs="Arial"/>
          <w:bCs/>
          <w:sz w:val="20"/>
          <w:szCs w:val="20"/>
        </w:rPr>
        <w:t xml:space="preserve"> e il sistema tematico Demo all’indirizzo </w:t>
      </w:r>
      <w:hyperlink r:id="rId43" w:history="1">
        <w:r>
          <w:rPr>
            <w:rStyle w:val="Collegamentoipertestuale"/>
            <w:rFonts w:ascii="Arial" w:hAnsi="Arial" w:cs="Arial"/>
            <w:bCs/>
            <w:sz w:val="20"/>
            <w:szCs w:val="20"/>
          </w:rPr>
          <w:t>http://demo.istat.it/altridati/separazionidivorzi/</w:t>
        </w:r>
      </w:hyperlink>
      <w:r>
        <w:rPr>
          <w:rFonts w:ascii="Arial" w:hAnsi="Arial" w:cs="Arial"/>
          <w:bCs/>
          <w:sz w:val="20"/>
          <w:szCs w:val="20"/>
        </w:rPr>
        <w:t>.</w:t>
      </w:r>
    </w:p>
    <w:p w14:paraId="48AE78C3" w14:textId="77777777" w:rsidR="00FD7DB7" w:rsidRDefault="00FD7DB7" w:rsidP="001C4485">
      <w:pPr>
        <w:spacing w:after="120"/>
        <w:jc w:val="both"/>
        <w:rPr>
          <w:rFonts w:ascii="Arial" w:hAnsi="Arial" w:cs="Arial"/>
          <w:bCs/>
          <w:sz w:val="20"/>
          <w:szCs w:val="20"/>
        </w:rPr>
      </w:pPr>
      <w:r>
        <w:rPr>
          <w:rFonts w:ascii="Arial" w:hAnsi="Arial" w:cs="Arial"/>
          <w:bCs/>
          <w:sz w:val="20"/>
          <w:szCs w:val="20"/>
        </w:rPr>
        <w:t xml:space="preserve">Dati riepilogativi annuali sono inoltre diffusi (a livello regionale) nell'Annuario statistico italiano e Noi Italia. </w:t>
      </w:r>
    </w:p>
    <w:p w14:paraId="00D09FCC" w14:textId="77777777" w:rsidR="008357DD" w:rsidRDefault="008357DD" w:rsidP="001C4485">
      <w:pPr>
        <w:spacing w:after="120"/>
        <w:jc w:val="both"/>
        <w:rPr>
          <w:rFonts w:ascii="Arial" w:hAnsi="Arial" w:cs="Arial"/>
          <w:b/>
          <w:bCs/>
          <w:color w:val="1F497D" w:themeColor="text2"/>
          <w:sz w:val="22"/>
          <w:szCs w:val="22"/>
        </w:rPr>
      </w:pPr>
      <w:r>
        <w:rPr>
          <w:rFonts w:ascii="Arial" w:hAnsi="Arial" w:cs="Arial"/>
          <w:b/>
          <w:bCs/>
          <w:color w:val="1F497D" w:themeColor="text2"/>
          <w:sz w:val="22"/>
          <w:szCs w:val="22"/>
        </w:rPr>
        <w:t>Riferimenti normativi</w:t>
      </w:r>
    </w:p>
    <w:p w14:paraId="73370F07" w14:textId="77777777" w:rsidR="00FD7DB7" w:rsidRDefault="00FD7DB7" w:rsidP="001C4485">
      <w:pPr>
        <w:spacing w:after="120"/>
        <w:jc w:val="both"/>
        <w:outlineLvl w:val="2"/>
        <w:rPr>
          <w:rFonts w:ascii="Arial" w:hAnsi="Arial" w:cs="Arial"/>
          <w:sz w:val="20"/>
          <w:szCs w:val="20"/>
        </w:rPr>
      </w:pPr>
      <w:r>
        <w:rPr>
          <w:rFonts w:ascii="Arial" w:hAnsi="Arial" w:cs="Arial"/>
          <w:sz w:val="20"/>
          <w:szCs w:val="20"/>
        </w:rPr>
        <w:t xml:space="preserve">Legge n. 898 del 1° dicembre 1970 (Disciplina dei casi di scioglimento del matrimonio). La Legge, confermata con referendum popolare nel maggio 1974, è poi stata modificata, per la parte relativa ai provvedimenti economici in favore del coniuge più debole, dalla Legge n. 436 del 1° agosto 1978 e, per altri aspetti, dalla Legge n. 74 del 6 marzo 1987. </w:t>
      </w:r>
    </w:p>
    <w:p w14:paraId="22486A9E" w14:textId="10B029C1" w:rsidR="00FD7DB7" w:rsidRDefault="00FC445C" w:rsidP="001C4485">
      <w:pPr>
        <w:spacing w:after="120"/>
        <w:jc w:val="both"/>
        <w:outlineLvl w:val="2"/>
        <w:rPr>
          <w:rFonts w:ascii="Arial" w:hAnsi="Arial" w:cs="Arial"/>
          <w:sz w:val="20"/>
          <w:szCs w:val="20"/>
        </w:rPr>
      </w:pPr>
      <w:r>
        <w:rPr>
          <w:rFonts w:ascii="Arial" w:hAnsi="Arial" w:cs="Arial"/>
          <w:sz w:val="20"/>
          <w:szCs w:val="20"/>
        </w:rPr>
        <w:t>L</w:t>
      </w:r>
      <w:r w:rsidR="00FD7DB7">
        <w:rPr>
          <w:rFonts w:ascii="Arial" w:hAnsi="Arial" w:cs="Arial"/>
          <w:sz w:val="20"/>
          <w:szCs w:val="20"/>
        </w:rPr>
        <w:t xml:space="preserve">a </w:t>
      </w:r>
      <w:r>
        <w:rPr>
          <w:rFonts w:ascii="Arial" w:hAnsi="Arial" w:cs="Arial"/>
          <w:sz w:val="20"/>
          <w:szCs w:val="20"/>
        </w:rPr>
        <w:t>Legge n. 151 del 19 maggio 1975 (</w:t>
      </w:r>
      <w:r w:rsidR="00FD7DB7">
        <w:rPr>
          <w:rFonts w:ascii="Arial" w:hAnsi="Arial" w:cs="Arial"/>
          <w:sz w:val="20"/>
          <w:szCs w:val="20"/>
        </w:rPr>
        <w:t xml:space="preserve">legge di </w:t>
      </w:r>
      <w:r w:rsidR="00B11612">
        <w:rPr>
          <w:rFonts w:ascii="Arial" w:hAnsi="Arial" w:cs="Arial"/>
          <w:sz w:val="20"/>
          <w:szCs w:val="20"/>
        </w:rPr>
        <w:t>R</w:t>
      </w:r>
      <w:r>
        <w:rPr>
          <w:rFonts w:ascii="Arial" w:hAnsi="Arial" w:cs="Arial"/>
          <w:sz w:val="20"/>
          <w:szCs w:val="20"/>
        </w:rPr>
        <w:t>iforma sul diritto di famiglia</w:t>
      </w:r>
      <w:r w:rsidR="00FD7DB7">
        <w:rPr>
          <w:rFonts w:ascii="Arial" w:hAnsi="Arial" w:cs="Arial"/>
          <w:sz w:val="20"/>
          <w:szCs w:val="20"/>
        </w:rPr>
        <w:t xml:space="preserve">) ha profondamente innovato l’istituto della separazione giudiziale. </w:t>
      </w:r>
    </w:p>
    <w:p w14:paraId="4F2EF89A" w14:textId="64302FCF" w:rsidR="00FD7DB7" w:rsidRDefault="00FC445C" w:rsidP="001C4485">
      <w:pPr>
        <w:spacing w:after="120"/>
        <w:jc w:val="both"/>
        <w:outlineLvl w:val="2"/>
        <w:rPr>
          <w:rFonts w:ascii="Arial" w:hAnsi="Arial" w:cs="Arial"/>
          <w:sz w:val="20"/>
          <w:szCs w:val="20"/>
        </w:rPr>
      </w:pPr>
      <w:r>
        <w:rPr>
          <w:rFonts w:ascii="Arial" w:hAnsi="Arial" w:cs="Arial"/>
          <w:sz w:val="20"/>
          <w:szCs w:val="20"/>
        </w:rPr>
        <w:t>La Legge n. 74 del 1987 riduce</w:t>
      </w:r>
      <w:r w:rsidR="00FD7DB7">
        <w:rPr>
          <w:rFonts w:ascii="Arial" w:hAnsi="Arial" w:cs="Arial"/>
          <w:sz w:val="20"/>
          <w:szCs w:val="20"/>
        </w:rPr>
        <w:t xml:space="preserve"> il numero di anni di separazione necessari per la proposizione della domanda di divorzio da cinque a tre. </w:t>
      </w:r>
    </w:p>
    <w:p w14:paraId="5804178B" w14:textId="373D3369" w:rsidR="00FD7DB7" w:rsidRDefault="00FC445C" w:rsidP="001C4485">
      <w:pPr>
        <w:spacing w:after="120"/>
        <w:jc w:val="both"/>
        <w:outlineLvl w:val="2"/>
        <w:rPr>
          <w:rFonts w:ascii="Arial" w:hAnsi="Arial" w:cs="Arial"/>
          <w:sz w:val="20"/>
          <w:szCs w:val="20"/>
        </w:rPr>
      </w:pPr>
      <w:r>
        <w:rPr>
          <w:rFonts w:ascii="Arial" w:hAnsi="Arial" w:cs="Arial"/>
          <w:sz w:val="20"/>
          <w:szCs w:val="20"/>
        </w:rPr>
        <w:t xml:space="preserve">La Legge n. 54 dell’8 febbraio 2006 (in vigore dal 16 marzo 2006) ha stabilito che, nelle cause di separazione e divorzio, il giudice deve valutare prioritariamente la possibilità che i figli minori restino affidati a entrambi i genitori oppure stabilire a quale di essi affidarli, determinando i tempi e le modalità della loro presenza presso ciascun genitore. </w:t>
      </w:r>
    </w:p>
    <w:p w14:paraId="067D957A" w14:textId="6801733A" w:rsidR="00FC445C" w:rsidRDefault="00FC445C" w:rsidP="001C4485">
      <w:pPr>
        <w:spacing w:after="120"/>
        <w:jc w:val="both"/>
        <w:rPr>
          <w:rFonts w:ascii="Arial" w:hAnsi="Arial" w:cs="Arial"/>
          <w:sz w:val="20"/>
          <w:szCs w:val="20"/>
        </w:rPr>
      </w:pPr>
      <w:r>
        <w:rPr>
          <w:rFonts w:ascii="Arial" w:hAnsi="Arial" w:cs="Arial"/>
          <w:sz w:val="20"/>
          <w:szCs w:val="20"/>
        </w:rPr>
        <w:t xml:space="preserve">Decreto legge 132/2014 introduce </w:t>
      </w:r>
      <w:r w:rsidR="00FD7DB7">
        <w:rPr>
          <w:rFonts w:ascii="Arial" w:hAnsi="Arial" w:cs="Arial"/>
          <w:sz w:val="20"/>
          <w:szCs w:val="20"/>
        </w:rPr>
        <w:t>la modalità extra-giudiziale di separazione personale, di cessazione degli effetti civili o di scioglimento del matrimonio, di modifica delle condizioni</w:t>
      </w:r>
      <w:r>
        <w:rPr>
          <w:rFonts w:ascii="Arial" w:hAnsi="Arial" w:cs="Arial"/>
          <w:sz w:val="20"/>
          <w:szCs w:val="20"/>
        </w:rPr>
        <w:t xml:space="preserve"> di separazione o di divorzio attraverso: </w:t>
      </w:r>
      <w:r w:rsidR="00FD7DB7">
        <w:rPr>
          <w:rFonts w:ascii="Arial" w:hAnsi="Arial" w:cs="Arial"/>
          <w:sz w:val="20"/>
          <w:szCs w:val="20"/>
        </w:rPr>
        <w:t>convenzione di negoziazione assistita da almeno un avvocato per parte (ex art. 6); innanzi all’</w:t>
      </w:r>
      <w:r w:rsidR="00315EE7">
        <w:rPr>
          <w:rFonts w:ascii="Arial" w:hAnsi="Arial" w:cs="Arial"/>
          <w:sz w:val="20"/>
          <w:szCs w:val="20"/>
        </w:rPr>
        <w:t>U</w:t>
      </w:r>
      <w:r w:rsidR="00FD7DB7">
        <w:rPr>
          <w:rFonts w:ascii="Arial" w:hAnsi="Arial" w:cs="Arial"/>
          <w:sz w:val="20"/>
          <w:szCs w:val="20"/>
        </w:rPr>
        <w:t xml:space="preserve">fficiale di </w:t>
      </w:r>
      <w:r w:rsidR="00315EE7">
        <w:rPr>
          <w:rFonts w:ascii="Arial" w:hAnsi="Arial" w:cs="Arial"/>
          <w:sz w:val="20"/>
          <w:szCs w:val="20"/>
        </w:rPr>
        <w:t>S</w:t>
      </w:r>
      <w:r w:rsidR="00FD7DB7">
        <w:rPr>
          <w:rFonts w:ascii="Arial" w:hAnsi="Arial" w:cs="Arial"/>
          <w:sz w:val="20"/>
          <w:szCs w:val="20"/>
        </w:rPr>
        <w:t xml:space="preserve">tato </w:t>
      </w:r>
      <w:r w:rsidR="00315EE7">
        <w:rPr>
          <w:rFonts w:ascii="Arial" w:hAnsi="Arial" w:cs="Arial"/>
          <w:sz w:val="20"/>
          <w:szCs w:val="20"/>
        </w:rPr>
        <w:t>C</w:t>
      </w:r>
      <w:r w:rsidR="00FD7DB7">
        <w:rPr>
          <w:rFonts w:ascii="Arial" w:hAnsi="Arial" w:cs="Arial"/>
          <w:sz w:val="20"/>
          <w:szCs w:val="20"/>
        </w:rPr>
        <w:t>ivile in assenza di patti di trasferimento patrimoniale e di figli minori, di figli maggiorenni incapaci o portatori di handicap grave ai sensi dell'articolo 3, comma 3, della Legge 5 febbraio 1992, n. 104, ovvero economicamente non autosufficienti (ex art. 12).</w:t>
      </w:r>
    </w:p>
    <w:p w14:paraId="75C9460E" w14:textId="7D4D5FAF" w:rsidR="00C83D9A" w:rsidRDefault="00FC445C" w:rsidP="00C83D9A">
      <w:pPr>
        <w:spacing w:after="120"/>
        <w:jc w:val="both"/>
        <w:rPr>
          <w:rFonts w:ascii="Arial" w:hAnsi="Arial" w:cs="Arial"/>
          <w:sz w:val="20"/>
          <w:szCs w:val="20"/>
        </w:rPr>
      </w:pPr>
      <w:r>
        <w:rPr>
          <w:rFonts w:ascii="Arial" w:hAnsi="Arial" w:cs="Arial"/>
          <w:sz w:val="20"/>
          <w:szCs w:val="20"/>
        </w:rPr>
        <w:t xml:space="preserve">Legge 6 maggio 2015, n. 55 (c. d. legge sul Divorzio breve), </w:t>
      </w:r>
      <w:r w:rsidR="00FD7DB7">
        <w:rPr>
          <w:rFonts w:ascii="Arial" w:hAnsi="Arial" w:cs="Arial"/>
          <w:sz w:val="20"/>
          <w:szCs w:val="20"/>
        </w:rPr>
        <w:t>pubblicata in Gazzetta Uffi</w:t>
      </w:r>
      <w:r>
        <w:rPr>
          <w:rFonts w:ascii="Arial" w:hAnsi="Arial" w:cs="Arial"/>
          <w:sz w:val="20"/>
          <w:szCs w:val="20"/>
        </w:rPr>
        <w:t xml:space="preserve">ciale 11 maggio 2015, n. 107, </w:t>
      </w:r>
      <w:r w:rsidR="00FD7DB7">
        <w:rPr>
          <w:rFonts w:ascii="Arial" w:hAnsi="Arial" w:cs="Arial"/>
          <w:sz w:val="20"/>
          <w:szCs w:val="20"/>
        </w:rPr>
        <w:t>interviene sulla disciplina della separazione e del divorzio, riducendo i tempi per la domanda di divorzio da tre anni a dodici mesi nel caso delle separazioni giudiziali e a sei mesi nel caso delle separazioni consensuali (anche in caso di trasformazione da giudiziale in consensuale).</w:t>
      </w:r>
    </w:p>
    <w:p w14:paraId="1C5CACE5" w14:textId="725C6963" w:rsidR="00C74129" w:rsidRDefault="00726168" w:rsidP="00C74129">
      <w:pPr>
        <w:spacing w:after="120"/>
        <w:jc w:val="both"/>
        <w:rPr>
          <w:rFonts w:ascii="Arial" w:hAnsi="Arial" w:cs="Arial"/>
          <w:sz w:val="20"/>
          <w:szCs w:val="20"/>
        </w:rPr>
      </w:pPr>
      <w:r>
        <w:rPr>
          <w:rFonts w:ascii="Arial" w:hAnsi="Arial" w:cs="Arial"/>
          <w:sz w:val="20"/>
          <w:szCs w:val="20"/>
        </w:rPr>
        <w:t>Legge</w:t>
      </w:r>
      <w:r w:rsidR="007139B4">
        <w:rPr>
          <w:rFonts w:ascii="Arial" w:hAnsi="Arial" w:cs="Arial"/>
          <w:sz w:val="20"/>
          <w:szCs w:val="20"/>
        </w:rPr>
        <w:t xml:space="preserve"> 26 novembre 2021, n. 206, pubblicata in Gazzetta Ufficiale 9 dicembre 2021, </w:t>
      </w:r>
      <w:r w:rsidR="00C74129" w:rsidRPr="00C74129">
        <w:rPr>
          <w:rFonts w:ascii="Arial" w:hAnsi="Arial" w:cs="Arial"/>
          <w:sz w:val="20"/>
          <w:szCs w:val="20"/>
        </w:rPr>
        <w:t xml:space="preserve">Delega al Governo per l'efficienza del processo civile e per la revisione della disciplina degli strumenti di risoluzione alternativa delle controversie e misure urgenti di razionalizzazione dei procedimenti in materia di diritti delle persone e delle famiglie </w:t>
      </w:r>
      <w:r w:rsidR="007139B4" w:rsidRPr="00C74129">
        <w:rPr>
          <w:rFonts w:ascii="Arial" w:hAnsi="Arial" w:cs="Arial"/>
          <w:sz w:val="20"/>
          <w:szCs w:val="20"/>
        </w:rPr>
        <w:t>nonché</w:t>
      </w:r>
      <w:r w:rsidR="00C74129" w:rsidRPr="00C74129">
        <w:rPr>
          <w:rFonts w:ascii="Arial" w:hAnsi="Arial" w:cs="Arial"/>
          <w:sz w:val="20"/>
          <w:szCs w:val="20"/>
        </w:rPr>
        <w:t xml:space="preserve"> i</w:t>
      </w:r>
      <w:r w:rsidR="007139B4">
        <w:rPr>
          <w:rFonts w:ascii="Arial" w:hAnsi="Arial" w:cs="Arial"/>
          <w:sz w:val="20"/>
          <w:szCs w:val="20"/>
        </w:rPr>
        <w:t>n materia di esecuzione forzata.</w:t>
      </w:r>
    </w:p>
    <w:p w14:paraId="5DA02BD5" w14:textId="5371977D" w:rsidR="007139B4" w:rsidRDefault="007139B4" w:rsidP="007139B4">
      <w:pPr>
        <w:spacing w:after="120"/>
        <w:jc w:val="both"/>
        <w:rPr>
          <w:rFonts w:ascii="Arial" w:hAnsi="Arial" w:cs="Arial"/>
          <w:sz w:val="20"/>
          <w:szCs w:val="20"/>
        </w:rPr>
      </w:pPr>
      <w:r>
        <w:rPr>
          <w:rFonts w:ascii="Arial" w:hAnsi="Arial" w:cs="Arial"/>
          <w:sz w:val="20"/>
          <w:szCs w:val="20"/>
        </w:rPr>
        <w:t>D. Lgs. 10 ott</w:t>
      </w:r>
      <w:r w:rsidRPr="007139B4">
        <w:rPr>
          <w:rFonts w:ascii="Arial" w:hAnsi="Arial" w:cs="Arial"/>
          <w:sz w:val="20"/>
          <w:szCs w:val="20"/>
        </w:rPr>
        <w:t>obre 2022, n. 149</w:t>
      </w:r>
      <w:r>
        <w:rPr>
          <w:rFonts w:ascii="Arial" w:hAnsi="Arial" w:cs="Arial"/>
          <w:sz w:val="20"/>
          <w:szCs w:val="20"/>
        </w:rPr>
        <w:t xml:space="preserve">, </w:t>
      </w:r>
      <w:r w:rsidRPr="007139B4">
        <w:rPr>
          <w:rFonts w:ascii="Arial" w:hAnsi="Arial" w:cs="Arial"/>
          <w:sz w:val="20"/>
          <w:szCs w:val="20"/>
        </w:rPr>
        <w:t>Attuazione d</w:t>
      </w:r>
      <w:r>
        <w:rPr>
          <w:rFonts w:ascii="Arial" w:hAnsi="Arial" w:cs="Arial"/>
          <w:sz w:val="20"/>
          <w:szCs w:val="20"/>
        </w:rPr>
        <w:t xml:space="preserve">ella legge 26 novembre 2021, n. </w:t>
      </w:r>
      <w:r w:rsidRPr="007139B4">
        <w:rPr>
          <w:rFonts w:ascii="Arial" w:hAnsi="Arial" w:cs="Arial"/>
          <w:sz w:val="20"/>
          <w:szCs w:val="20"/>
        </w:rPr>
        <w:t xml:space="preserve">206, GU Serie </w:t>
      </w:r>
      <w:r>
        <w:rPr>
          <w:rFonts w:ascii="Arial" w:hAnsi="Arial" w:cs="Arial"/>
          <w:sz w:val="20"/>
          <w:szCs w:val="20"/>
        </w:rPr>
        <w:t xml:space="preserve">Generale n.243 del 17-10-2022 - </w:t>
      </w:r>
      <w:r w:rsidRPr="007139B4">
        <w:rPr>
          <w:rFonts w:ascii="Arial" w:hAnsi="Arial" w:cs="Arial"/>
          <w:sz w:val="20"/>
          <w:szCs w:val="20"/>
        </w:rPr>
        <w:t>Suppl. Ordinario n. 38</w:t>
      </w:r>
      <w:r>
        <w:rPr>
          <w:rFonts w:ascii="Arial" w:hAnsi="Arial" w:cs="Arial"/>
          <w:sz w:val="20"/>
          <w:szCs w:val="20"/>
        </w:rPr>
        <w:t xml:space="preserve"> (Riforma Cartabia).</w:t>
      </w:r>
    </w:p>
    <w:p w14:paraId="7AEBD475" w14:textId="77777777" w:rsidR="00C83D9A" w:rsidRDefault="00C83D9A" w:rsidP="00C83D9A">
      <w:pPr>
        <w:spacing w:after="120"/>
        <w:jc w:val="both"/>
        <w:rPr>
          <w:rFonts w:ascii="Arial" w:hAnsi="Arial" w:cs="Arial"/>
          <w:sz w:val="20"/>
          <w:szCs w:val="20"/>
        </w:rPr>
      </w:pPr>
    </w:p>
    <w:p w14:paraId="5DA965EF" w14:textId="459186C4" w:rsidR="00C70253" w:rsidRDefault="00B75F32" w:rsidP="00C83D9A">
      <w:pPr>
        <w:spacing w:after="120"/>
        <w:jc w:val="both"/>
        <w:rPr>
          <w:rFonts w:ascii="Arial" w:hAnsi="Arial" w:cs="Arial"/>
          <w:sz w:val="20"/>
          <w:szCs w:val="20"/>
        </w:rPr>
      </w:pPr>
      <w:r w:rsidRPr="00146352">
        <w:rPr>
          <w:rFonts w:ascii="Georgia" w:hAnsi="Georgia" w:cs="Arial"/>
          <w:color w:val="1F497D"/>
          <w:sz w:val="48"/>
          <w:szCs w:val="48"/>
        </w:rPr>
        <w:t>Note</w:t>
      </w:r>
    </w:p>
    <w:p w14:paraId="54E86DB6" w14:textId="77777777" w:rsidR="0094530D" w:rsidRDefault="0094530D">
      <w:pPr>
        <w:spacing w:after="120"/>
        <w:jc w:val="both"/>
        <w:rPr>
          <w:rFonts w:ascii="Arial" w:hAnsi="Arial" w:cs="Arial"/>
          <w:sz w:val="20"/>
          <w:szCs w:val="20"/>
        </w:rPr>
      </w:pPr>
    </w:p>
    <w:sectPr w:rsidR="0094530D" w:rsidSect="002261D9">
      <w:footerReference w:type="default" r:id="rId44"/>
      <w:pgSz w:w="11906" w:h="16838" w:code="9"/>
      <w:pgMar w:top="567" w:right="992" w:bottom="714" w:left="992" w:header="0" w:footer="0" w:gutter="0"/>
      <w:cols w:space="43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19EE2" w14:textId="77777777" w:rsidR="00507FC7" w:rsidRDefault="00507FC7">
      <w:r>
        <w:separator/>
      </w:r>
    </w:p>
  </w:endnote>
  <w:endnote w:type="continuationSeparator" w:id="0">
    <w:p w14:paraId="5E2FBD99" w14:textId="77777777" w:rsidR="00507FC7" w:rsidRDefault="00507FC7">
      <w:r>
        <w:continuationSeparator/>
      </w:r>
    </w:p>
  </w:endnote>
  <w:endnote w:id="1">
    <w:p w14:paraId="3CD3584B" w14:textId="77777777" w:rsidR="00507FC7" w:rsidRPr="00CC3286" w:rsidRDefault="00507FC7" w:rsidP="007E2595">
      <w:pPr>
        <w:pStyle w:val="Testonotadichiusura"/>
        <w:rPr>
          <w:rFonts w:ascii="Arial" w:hAnsi="Arial" w:cs="Arial"/>
          <w:sz w:val="16"/>
          <w:szCs w:val="16"/>
        </w:rPr>
      </w:pPr>
      <w:r w:rsidRPr="00560573">
        <w:rPr>
          <w:rStyle w:val="Rimandonotadichiusura"/>
          <w:rFonts w:ascii="Arial" w:hAnsi="Arial" w:cs="Arial"/>
          <w:sz w:val="16"/>
          <w:szCs w:val="16"/>
        </w:rPr>
        <w:endnoteRef/>
      </w:r>
      <w:r w:rsidRPr="00560573">
        <w:rPr>
          <w:rFonts w:ascii="Arial" w:hAnsi="Arial" w:cs="Arial"/>
          <w:sz w:val="16"/>
          <w:szCs w:val="16"/>
        </w:rPr>
        <w:t xml:space="preserve"> Casta</w:t>
      </w:r>
      <w:r w:rsidRPr="00CC3286">
        <w:rPr>
          <w:rFonts w:ascii="Arial" w:hAnsi="Arial" w:cs="Arial"/>
          <w:sz w:val="16"/>
          <w:szCs w:val="16"/>
        </w:rPr>
        <w:t>gnaro C. e Meli E. (a cura di), “</w:t>
      </w:r>
      <w:r w:rsidRPr="006B413D">
        <w:rPr>
          <w:rFonts w:ascii="Arial" w:hAnsi="Arial" w:cs="Arial"/>
          <w:sz w:val="16"/>
          <w:szCs w:val="16"/>
        </w:rPr>
        <w:t>Famiglie, reti familiari, percorsi lavorativi e di vita”</w:t>
      </w:r>
      <w:r w:rsidRPr="009A729B">
        <w:rPr>
          <w:rFonts w:ascii="Arial" w:hAnsi="Arial" w:cs="Arial"/>
          <w:sz w:val="16"/>
          <w:szCs w:val="16"/>
        </w:rPr>
        <w:t>, Istat, Temi-Letture statistiche, 2022</w:t>
      </w:r>
    </w:p>
  </w:endnote>
  <w:endnote w:id="2">
    <w:p w14:paraId="1872FEB8" w14:textId="77777777" w:rsidR="00507FC7" w:rsidRPr="00CC3286" w:rsidRDefault="00507FC7" w:rsidP="0053471F">
      <w:pPr>
        <w:pStyle w:val="Testonotadichiusura"/>
        <w:jc w:val="both"/>
        <w:rPr>
          <w:rFonts w:ascii="Arial" w:hAnsi="Arial" w:cs="Arial"/>
          <w:sz w:val="16"/>
          <w:szCs w:val="16"/>
        </w:rPr>
      </w:pPr>
      <w:r w:rsidRPr="006B413D">
        <w:rPr>
          <w:rStyle w:val="Rimandonotadichiusura"/>
          <w:rFonts w:ascii="Arial" w:hAnsi="Arial" w:cs="Arial"/>
          <w:sz w:val="16"/>
          <w:szCs w:val="16"/>
        </w:rPr>
        <w:endnoteRef/>
      </w:r>
      <w:r w:rsidRPr="006B413D">
        <w:rPr>
          <w:rFonts w:ascii="Arial" w:hAnsi="Arial" w:cs="Arial"/>
          <w:sz w:val="16"/>
          <w:szCs w:val="16"/>
        </w:rPr>
        <w:t xml:space="preserve"> </w:t>
      </w:r>
      <w:r w:rsidRPr="009A729B">
        <w:rPr>
          <w:rFonts w:ascii="Arial" w:hAnsi="Arial" w:cs="Arial"/>
          <w:sz w:val="16"/>
          <w:szCs w:val="16"/>
        </w:rPr>
        <w:t>Cfr. Istat, Indagine Aspetti della vita quotidiana. Anni vari</w:t>
      </w:r>
    </w:p>
  </w:endnote>
  <w:endnote w:id="3">
    <w:p w14:paraId="3DD6DB1A" w14:textId="77777777" w:rsidR="00507FC7" w:rsidRPr="00CC3286" w:rsidRDefault="00507FC7" w:rsidP="009E5454">
      <w:pPr>
        <w:pStyle w:val="Testonotadichiusura"/>
        <w:jc w:val="both"/>
        <w:rPr>
          <w:rFonts w:ascii="Arial" w:hAnsi="Arial" w:cs="Arial"/>
          <w:sz w:val="16"/>
          <w:szCs w:val="16"/>
        </w:rPr>
      </w:pPr>
      <w:r w:rsidRPr="006B413D">
        <w:rPr>
          <w:rStyle w:val="Rimandonotadichiusura"/>
          <w:rFonts w:ascii="Arial" w:hAnsi="Arial" w:cs="Arial"/>
          <w:sz w:val="16"/>
          <w:szCs w:val="16"/>
        </w:rPr>
        <w:endnoteRef/>
      </w:r>
      <w:r w:rsidRPr="00CC3286">
        <w:rPr>
          <w:rFonts w:ascii="Arial" w:hAnsi="Arial" w:cs="Arial"/>
          <w:sz w:val="16"/>
          <w:szCs w:val="16"/>
        </w:rPr>
        <w:t xml:space="preserve"> </w:t>
      </w:r>
      <w:r w:rsidRPr="006B413D">
        <w:rPr>
          <w:rFonts w:ascii="Arial" w:hAnsi="Arial" w:cs="Arial"/>
          <w:sz w:val="16"/>
          <w:szCs w:val="16"/>
        </w:rPr>
        <w:t>I matrimoni successivi al primo avvengono quasi sempre con il rito civile; possono infatti essere celebrati con rito religioso solo quelli in cui il primo matrimonio era stato celebrato in Comune e quelli in cui, oltre all’a</w:t>
      </w:r>
      <w:r w:rsidRPr="009A729B">
        <w:rPr>
          <w:rFonts w:ascii="Arial" w:hAnsi="Arial" w:cs="Arial"/>
          <w:sz w:val="16"/>
          <w:szCs w:val="16"/>
        </w:rPr>
        <w:t>nnullamento degli effetti civili, si è ottenuto anche l’annullamento religioso del matrimonio.</w:t>
      </w:r>
    </w:p>
  </w:endnote>
  <w:endnote w:id="4">
    <w:p w14:paraId="0F3719B6" w14:textId="77777777" w:rsidR="00507FC7" w:rsidRPr="00CC3286" w:rsidRDefault="00507FC7" w:rsidP="00AA1984">
      <w:pPr>
        <w:pStyle w:val="Testonotadichiusura"/>
        <w:rPr>
          <w:rFonts w:ascii="Arial" w:hAnsi="Arial" w:cs="Arial"/>
          <w:sz w:val="16"/>
          <w:szCs w:val="16"/>
        </w:rPr>
      </w:pPr>
      <w:r w:rsidRPr="00CC3286">
        <w:rPr>
          <w:rStyle w:val="Rimandonotadichiusura"/>
          <w:rFonts w:ascii="Arial" w:hAnsi="Arial" w:cs="Arial"/>
          <w:sz w:val="16"/>
          <w:szCs w:val="16"/>
        </w:rPr>
        <w:endnoteRef/>
      </w:r>
      <w:r w:rsidRPr="00CC3286">
        <w:rPr>
          <w:rFonts w:ascii="Arial" w:hAnsi="Arial" w:cs="Arial"/>
          <w:sz w:val="16"/>
          <w:szCs w:val="16"/>
        </w:rPr>
        <w:t xml:space="preserve"> </w:t>
      </w:r>
      <w:r w:rsidRPr="006B413D">
        <w:rPr>
          <w:rFonts w:ascii="Arial" w:hAnsi="Arial" w:cs="Arial"/>
          <w:sz w:val="16"/>
          <w:szCs w:val="16"/>
        </w:rPr>
        <w:t>Indagine Fam</w:t>
      </w:r>
      <w:r w:rsidRPr="009A729B">
        <w:rPr>
          <w:rFonts w:ascii="Arial" w:hAnsi="Arial" w:cs="Arial"/>
          <w:sz w:val="16"/>
          <w:szCs w:val="16"/>
        </w:rPr>
        <w:t>iglie e soggetti sociali (2016).</w:t>
      </w:r>
    </w:p>
  </w:endnote>
  <w:endnote w:id="5">
    <w:p w14:paraId="77D0B76B" w14:textId="56B87C4D" w:rsidR="00507FC7" w:rsidRPr="009A729B" w:rsidRDefault="00507FC7" w:rsidP="000156A7">
      <w:pPr>
        <w:pStyle w:val="Testonotadichiusura"/>
        <w:jc w:val="both"/>
        <w:rPr>
          <w:rFonts w:ascii="Arial" w:hAnsi="Arial" w:cs="Arial"/>
          <w:sz w:val="16"/>
          <w:szCs w:val="16"/>
        </w:rPr>
      </w:pPr>
      <w:r w:rsidRPr="006B413D">
        <w:rPr>
          <w:rStyle w:val="Rimandonotadichiusura"/>
          <w:rFonts w:ascii="Arial" w:hAnsi="Arial" w:cs="Arial"/>
          <w:sz w:val="16"/>
          <w:szCs w:val="16"/>
        </w:rPr>
        <w:endnoteRef/>
      </w:r>
      <w:r w:rsidRPr="006B413D">
        <w:rPr>
          <w:rFonts w:ascii="Arial" w:hAnsi="Arial" w:cs="Arial"/>
          <w:sz w:val="16"/>
          <w:szCs w:val="16"/>
        </w:rPr>
        <w:t xml:space="preserve"> Cfr. Istat, Rapporto annuale 2016. La situazione del Paese</w:t>
      </w:r>
      <w:r w:rsidRPr="009A729B">
        <w:rPr>
          <w:rFonts w:ascii="Arial" w:hAnsi="Arial" w:cs="Arial"/>
          <w:sz w:val="16"/>
          <w:szCs w:val="16"/>
        </w:rPr>
        <w:t>.</w:t>
      </w:r>
    </w:p>
  </w:endnote>
  <w:endnote w:id="6">
    <w:p w14:paraId="63907DB4" w14:textId="33A0F58B" w:rsidR="00507FC7" w:rsidRPr="006B413D" w:rsidRDefault="00507FC7" w:rsidP="002F3F9D">
      <w:pPr>
        <w:pStyle w:val="Testonotadichiusura"/>
        <w:jc w:val="both"/>
        <w:rPr>
          <w:rFonts w:ascii="Arial" w:hAnsi="Arial" w:cs="Arial"/>
          <w:sz w:val="16"/>
          <w:szCs w:val="16"/>
        </w:rPr>
      </w:pPr>
      <w:r w:rsidRPr="006B413D">
        <w:rPr>
          <w:rStyle w:val="Rimandonotadichiusura"/>
          <w:rFonts w:ascii="Arial" w:hAnsi="Arial" w:cs="Arial"/>
          <w:sz w:val="16"/>
          <w:szCs w:val="16"/>
        </w:rPr>
        <w:endnoteRef/>
      </w:r>
      <w:r w:rsidRPr="006B413D">
        <w:rPr>
          <w:rFonts w:ascii="Arial" w:hAnsi="Arial" w:cs="Arial"/>
          <w:sz w:val="16"/>
          <w:szCs w:val="16"/>
        </w:rPr>
        <w:t xml:space="preserve"> La disciplina delle unioni civili è sancita dalla </w:t>
      </w:r>
      <w:r w:rsidRPr="009A729B">
        <w:rPr>
          <w:rFonts w:ascii="Arial" w:hAnsi="Arial" w:cs="Arial"/>
          <w:sz w:val="16"/>
          <w:szCs w:val="16"/>
        </w:rPr>
        <w:t>Legge 20 maggio 2016, n. 76 sulla “Regolamentazione delle unioni civili tra persone dello stesso sesso e disciplina delle convivenze”, entrata in vigore il 5 giugno 2016, e all’entrata in vigore del D.P.C.M 23 luglio 2016, n. 144 “Regolamento recante dispo</w:t>
      </w:r>
      <w:r w:rsidRPr="009C4E87">
        <w:rPr>
          <w:rFonts w:ascii="Arial" w:hAnsi="Arial" w:cs="Arial"/>
          <w:sz w:val="16"/>
          <w:szCs w:val="16"/>
        </w:rPr>
        <w:t xml:space="preserve">sizioni transitorie necessarie per la tenuta dei registri dell’archivio nello stato civile, ai sensi dell’articolo 1, comma 34, della </w:t>
      </w:r>
      <w:r w:rsidRPr="006B413D">
        <w:rPr>
          <w:rFonts w:ascii="Arial" w:hAnsi="Arial" w:cs="Arial"/>
          <w:sz w:val="16"/>
          <w:szCs w:val="16"/>
        </w:rPr>
        <w:t xml:space="preserve">Legge 20 maggio 2016, n.76”. Hanno fatto seguito i decreti attuativi (Decreti legislativi n. 5,6 e 7 del 19 gennaio 2017). </w:t>
      </w:r>
    </w:p>
  </w:endnote>
  <w:endnote w:id="7">
    <w:p w14:paraId="1A313358" w14:textId="0F3A1488" w:rsidR="00507FC7" w:rsidRPr="006B413D" w:rsidRDefault="00507FC7" w:rsidP="00FB7EE4">
      <w:pPr>
        <w:pStyle w:val="Testonotadichiusura"/>
        <w:jc w:val="both"/>
        <w:rPr>
          <w:rFonts w:ascii="Arial" w:hAnsi="Arial" w:cs="Arial"/>
          <w:sz w:val="16"/>
          <w:szCs w:val="16"/>
        </w:rPr>
      </w:pPr>
      <w:r w:rsidRPr="006B413D">
        <w:rPr>
          <w:rStyle w:val="Rimandonotadichiusura"/>
          <w:rFonts w:ascii="Arial" w:hAnsi="Arial" w:cs="Arial"/>
          <w:sz w:val="16"/>
          <w:szCs w:val="16"/>
        </w:rPr>
        <w:endnoteRef/>
      </w:r>
      <w:r w:rsidRPr="00CC3286">
        <w:rPr>
          <w:rFonts w:ascii="Arial" w:hAnsi="Arial" w:cs="Arial"/>
          <w:sz w:val="16"/>
          <w:szCs w:val="16"/>
        </w:rPr>
        <w:t xml:space="preserve"> </w:t>
      </w:r>
      <w:r w:rsidRPr="006B413D">
        <w:rPr>
          <w:rFonts w:ascii="Arial" w:hAnsi="Arial" w:cs="Arial"/>
          <w:sz w:val="16"/>
          <w:szCs w:val="16"/>
        </w:rPr>
        <w:t>D</w:t>
      </w:r>
      <w:r w:rsidRPr="009A729B">
        <w:rPr>
          <w:rFonts w:ascii="Arial" w:hAnsi="Arial" w:cs="Arial"/>
          <w:sz w:val="16"/>
          <w:szCs w:val="16"/>
        </w:rPr>
        <w:t>ecreto legge 12 settembre 2014, n. 132 (convertito con modificazioni dalla Legge 10 novembre 2014, n. 162) recante misure per la "degiuri</w:t>
      </w:r>
      <w:r w:rsidRPr="009C4E87">
        <w:rPr>
          <w:rFonts w:ascii="Arial" w:hAnsi="Arial" w:cs="Arial"/>
          <w:sz w:val="16"/>
          <w:szCs w:val="16"/>
        </w:rPr>
        <w:t>sdizionalizzazione" e L</w:t>
      </w:r>
      <w:r w:rsidRPr="006B413D">
        <w:rPr>
          <w:rFonts w:ascii="Arial" w:hAnsi="Arial" w:cs="Arial"/>
          <w:sz w:val="16"/>
          <w:szCs w:val="16"/>
        </w:rPr>
        <w:t>egge 6 maggio 2015, n. 55 riguardante in modo specifico la materia del divorzio.</w:t>
      </w:r>
    </w:p>
    <w:p w14:paraId="42325942" w14:textId="5144289A" w:rsidR="00507FC7" w:rsidRPr="006B413D" w:rsidRDefault="00507FC7" w:rsidP="00FB7EE4">
      <w:pPr>
        <w:pStyle w:val="Testonotadichiusura"/>
        <w:jc w:val="both"/>
        <w:rPr>
          <w:rFonts w:ascii="Arial" w:hAnsi="Arial" w:cs="Arial"/>
          <w:sz w:val="16"/>
          <w:szCs w:val="16"/>
        </w:rPr>
      </w:pPr>
    </w:p>
    <w:p w14:paraId="3ED67110" w14:textId="4C854FBD" w:rsidR="00507FC7" w:rsidRDefault="00507FC7" w:rsidP="00FB7EE4">
      <w:pPr>
        <w:pStyle w:val="Testonotadichiusura"/>
        <w:jc w:val="both"/>
        <w:rPr>
          <w:rFonts w:ascii="Arial" w:hAnsi="Arial" w:cs="Arial"/>
          <w:sz w:val="16"/>
          <w:szCs w:val="16"/>
        </w:rPr>
      </w:pPr>
    </w:p>
    <w:p w14:paraId="3150E293" w14:textId="200DB4C1" w:rsidR="00507FC7" w:rsidRDefault="00507FC7" w:rsidP="00FB7EE4">
      <w:pPr>
        <w:pStyle w:val="Testonotadichiusura"/>
        <w:jc w:val="both"/>
        <w:rPr>
          <w:rFonts w:ascii="Arial" w:hAnsi="Arial" w:cs="Arial"/>
          <w:sz w:val="16"/>
          <w:szCs w:val="16"/>
        </w:rPr>
      </w:pPr>
    </w:p>
    <w:p w14:paraId="48DC21A3" w14:textId="4725EFF5" w:rsidR="00507FC7" w:rsidRDefault="00507FC7" w:rsidP="00FB7EE4">
      <w:pPr>
        <w:pStyle w:val="Testonotadichiusura"/>
        <w:jc w:val="both"/>
        <w:rPr>
          <w:rFonts w:ascii="Arial" w:hAnsi="Arial" w:cs="Arial"/>
          <w:sz w:val="16"/>
          <w:szCs w:val="16"/>
        </w:rPr>
      </w:pPr>
    </w:p>
    <w:p w14:paraId="582C2EDE" w14:textId="77777777" w:rsidR="00507FC7" w:rsidRPr="00566ED5" w:rsidRDefault="00507FC7" w:rsidP="006B57E7">
      <w:pPr>
        <w:pStyle w:val="NormaleWeb"/>
        <w:spacing w:before="120" w:beforeAutospacing="0" w:after="120" w:afterAutospacing="0"/>
        <w:rPr>
          <w:rFonts w:ascii="Arial" w:hAnsi="Arial" w:cs="Arial"/>
          <w:color w:val="000000" w:themeColor="text1"/>
          <w:sz w:val="36"/>
          <w:szCs w:val="36"/>
        </w:rPr>
      </w:pPr>
      <w:r w:rsidRPr="00566ED5">
        <w:rPr>
          <w:rFonts w:ascii="Georgia" w:hAnsi="Georgia"/>
          <w:bCs/>
          <w:color w:val="1F497D" w:themeColor="text2"/>
          <w:sz w:val="36"/>
          <w:szCs w:val="36"/>
        </w:rPr>
        <w:t>Per chiarimenti tecnici e metodologici</w:t>
      </w:r>
    </w:p>
    <w:tbl>
      <w:tblPr>
        <w:tblStyle w:val="Grigliatabella"/>
        <w:tblW w:w="9923" w:type="dxa"/>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507FC7" w14:paraId="6241916A" w14:textId="77777777" w:rsidTr="00115A6C">
        <w:tc>
          <w:tcPr>
            <w:tcW w:w="4961" w:type="dxa"/>
          </w:tcPr>
          <w:p w14:paraId="320EF156" w14:textId="77777777" w:rsidR="00507FC7" w:rsidRDefault="00507FC7" w:rsidP="006B57E7">
            <w:pPr>
              <w:pStyle w:val="NormaleWeb"/>
              <w:spacing w:before="0" w:beforeAutospacing="0" w:after="120" w:afterAutospacing="0"/>
              <w:rPr>
                <w:rFonts w:ascii="Arial" w:hAnsi="Arial" w:cs="Arial"/>
                <w:b/>
                <w:bCs/>
                <w:color w:val="1F497D"/>
                <w:sz w:val="22"/>
                <w:szCs w:val="22"/>
              </w:rPr>
            </w:pPr>
          </w:p>
          <w:p w14:paraId="024D3F4C" w14:textId="77777777" w:rsidR="00507FC7" w:rsidRDefault="00507FC7" w:rsidP="006B57E7">
            <w:pPr>
              <w:pStyle w:val="NormaleWeb"/>
              <w:spacing w:before="0" w:beforeAutospacing="0" w:after="0" w:afterAutospacing="0"/>
              <w:rPr>
                <w:rFonts w:ascii="Arial" w:hAnsi="Arial" w:cs="Arial"/>
                <w:b/>
                <w:bCs/>
                <w:color w:val="1F497D"/>
                <w:sz w:val="22"/>
                <w:szCs w:val="22"/>
              </w:rPr>
            </w:pPr>
            <w:r w:rsidRPr="002027BD">
              <w:rPr>
                <w:rFonts w:ascii="Arial" w:hAnsi="Arial" w:cs="Arial"/>
                <w:b/>
                <w:bCs/>
                <w:color w:val="1F497D"/>
                <w:sz w:val="22"/>
                <w:szCs w:val="22"/>
              </w:rPr>
              <w:t>Antonella Guarneri</w:t>
            </w:r>
          </w:p>
          <w:p w14:paraId="6881EBEC" w14:textId="77777777" w:rsidR="00507FC7" w:rsidRDefault="005666EF" w:rsidP="006B57E7">
            <w:pPr>
              <w:pStyle w:val="NormaleWeb"/>
              <w:spacing w:before="0" w:beforeAutospacing="0" w:after="0" w:afterAutospacing="0"/>
              <w:rPr>
                <w:rFonts w:ascii="Arial" w:hAnsi="Arial" w:cs="Arial"/>
                <w:color w:val="1F497D"/>
                <w:sz w:val="22"/>
                <w:szCs w:val="22"/>
              </w:rPr>
            </w:pPr>
            <w:hyperlink r:id="rId1" w:history="1">
              <w:r w:rsidR="00507FC7" w:rsidRPr="002027BD">
                <w:rPr>
                  <w:rStyle w:val="Collegamentoipertestuale"/>
                  <w:rFonts w:ascii="Arial" w:hAnsi="Arial" w:cs="Arial"/>
                  <w:sz w:val="22"/>
                  <w:szCs w:val="22"/>
                </w:rPr>
                <w:t>guarneri@istat.it</w:t>
              </w:r>
            </w:hyperlink>
          </w:p>
          <w:p w14:paraId="5B44A81C" w14:textId="77777777" w:rsidR="00507FC7" w:rsidRDefault="00507FC7" w:rsidP="006B57E7">
            <w:pPr>
              <w:pStyle w:val="NormaleWeb"/>
              <w:spacing w:before="0" w:beforeAutospacing="0" w:after="0" w:afterAutospacing="0"/>
              <w:rPr>
                <w:rFonts w:ascii="Arial" w:hAnsi="Arial" w:cs="Arial"/>
                <w:bCs/>
                <w:sz w:val="20"/>
                <w:szCs w:val="20"/>
              </w:rPr>
            </w:pPr>
          </w:p>
        </w:tc>
        <w:tc>
          <w:tcPr>
            <w:tcW w:w="4962" w:type="dxa"/>
          </w:tcPr>
          <w:p w14:paraId="73F20FD0" w14:textId="77777777" w:rsidR="00507FC7" w:rsidRDefault="00507FC7" w:rsidP="006B57E7">
            <w:pPr>
              <w:pStyle w:val="NormaleWeb"/>
              <w:spacing w:before="0" w:beforeAutospacing="0" w:after="120" w:afterAutospacing="0"/>
              <w:rPr>
                <w:rFonts w:ascii="Arial" w:hAnsi="Arial" w:cs="Arial"/>
                <w:b/>
                <w:bCs/>
                <w:color w:val="1F497D"/>
                <w:sz w:val="22"/>
                <w:szCs w:val="22"/>
              </w:rPr>
            </w:pPr>
          </w:p>
          <w:p w14:paraId="28559001" w14:textId="77777777" w:rsidR="00507FC7" w:rsidRDefault="00507FC7" w:rsidP="006B57E7">
            <w:pPr>
              <w:autoSpaceDE w:val="0"/>
              <w:autoSpaceDN w:val="0"/>
              <w:adjustRightInd w:val="0"/>
              <w:jc w:val="both"/>
              <w:rPr>
                <w:rFonts w:ascii="Arial" w:hAnsi="Arial" w:cs="Arial"/>
                <w:b/>
                <w:bCs/>
                <w:color w:val="1F497D"/>
                <w:sz w:val="22"/>
                <w:szCs w:val="22"/>
              </w:rPr>
            </w:pPr>
            <w:r>
              <w:rPr>
                <w:rFonts w:ascii="Arial" w:hAnsi="Arial" w:cs="Arial"/>
                <w:b/>
                <w:bCs/>
                <w:color w:val="1F497D"/>
                <w:sz w:val="22"/>
                <w:szCs w:val="22"/>
              </w:rPr>
              <w:t>Claudia Iaccarino</w:t>
            </w:r>
          </w:p>
          <w:p w14:paraId="75825080" w14:textId="77777777" w:rsidR="00507FC7" w:rsidRDefault="005666EF" w:rsidP="006B57E7">
            <w:pPr>
              <w:autoSpaceDE w:val="0"/>
              <w:autoSpaceDN w:val="0"/>
              <w:adjustRightInd w:val="0"/>
              <w:spacing w:after="120"/>
              <w:jc w:val="both"/>
              <w:rPr>
                <w:rFonts w:ascii="Arial" w:hAnsi="Arial" w:cs="Arial"/>
                <w:color w:val="1F497D"/>
                <w:sz w:val="22"/>
                <w:szCs w:val="22"/>
              </w:rPr>
            </w:pPr>
            <w:hyperlink r:id="rId2" w:history="1">
              <w:r w:rsidR="00507FC7">
                <w:rPr>
                  <w:rStyle w:val="Collegamentoipertestuale"/>
                  <w:rFonts w:ascii="Arial" w:hAnsi="Arial" w:cs="Arial"/>
                  <w:sz w:val="22"/>
                  <w:szCs w:val="22"/>
                </w:rPr>
                <w:t>iaccarin@istat.it</w:t>
              </w:r>
            </w:hyperlink>
          </w:p>
          <w:p w14:paraId="23572C0C" w14:textId="77777777" w:rsidR="00507FC7" w:rsidRDefault="00507FC7" w:rsidP="006B57E7">
            <w:pPr>
              <w:autoSpaceDE w:val="0"/>
              <w:autoSpaceDN w:val="0"/>
              <w:adjustRightInd w:val="0"/>
              <w:spacing w:after="120"/>
              <w:jc w:val="both"/>
              <w:rPr>
                <w:rFonts w:ascii="Arial" w:hAnsi="Arial" w:cs="Arial"/>
                <w:bCs/>
                <w:sz w:val="20"/>
                <w:szCs w:val="20"/>
              </w:rPr>
            </w:pPr>
          </w:p>
        </w:tc>
      </w:tr>
    </w:tbl>
    <w:p w14:paraId="15736352" w14:textId="77777777" w:rsidR="00507FC7" w:rsidRPr="00FB7EE4" w:rsidRDefault="00507FC7" w:rsidP="00FB7EE4">
      <w:pPr>
        <w:pStyle w:val="Testonotadichiusura"/>
        <w:jc w:val="both"/>
        <w:rPr>
          <w:rStyle w:val="Rimandonotadichiusura"/>
          <w:rFonts w:ascii="Arial" w:hAnsi="Arial" w:cs="Arial"/>
          <w:sz w:val="16"/>
          <w:szCs w:val="16"/>
          <w:vertAlign w:val="baselin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21498" w14:textId="5C7D8C21" w:rsidR="00507FC7" w:rsidRDefault="00507FC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05CDC4B" w14:textId="77777777" w:rsidR="00507FC7" w:rsidRDefault="00507FC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220085"/>
      <w:docPartObj>
        <w:docPartGallery w:val="Page Numbers (Bottom of Page)"/>
        <w:docPartUnique/>
      </w:docPartObj>
    </w:sdtPr>
    <w:sdtEndPr/>
    <w:sdtContent>
      <w:p w14:paraId="3EE31372" w14:textId="195574F8" w:rsidR="00507FC7" w:rsidRDefault="00507FC7">
        <w:pPr>
          <w:pStyle w:val="Pidipagina"/>
        </w:pPr>
        <w:r>
          <w:fldChar w:fldCharType="begin"/>
        </w:r>
        <w:r>
          <w:instrText>PAGE   \* MERGEFORMAT</w:instrText>
        </w:r>
        <w:r>
          <w:fldChar w:fldCharType="separate"/>
        </w:r>
        <w:r>
          <w:rPr>
            <w:noProof/>
          </w:rPr>
          <w:t>2</w:t>
        </w:r>
        <w:r>
          <w:fldChar w:fldCharType="end"/>
        </w:r>
      </w:p>
    </w:sdtContent>
  </w:sdt>
  <w:p w14:paraId="286DC52C" w14:textId="77777777" w:rsidR="00507FC7" w:rsidRDefault="00507FC7" w:rsidP="00842757">
    <w:pPr>
      <w:pStyle w:val="Pidipagina"/>
      <w:tabs>
        <w:tab w:val="clear" w:pos="4819"/>
        <w:tab w:val="clear" w:pos="9638"/>
        <w:tab w:val="left" w:pos="777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490A1" w14:textId="36FAB498" w:rsidR="00507FC7" w:rsidRPr="00C469C4" w:rsidRDefault="00507FC7" w:rsidP="00C469C4">
    <w:pPr>
      <w:pStyle w:val="Pidipagina"/>
      <w:ind w:left="-851"/>
      <w:rPr>
        <w:sz w:val="18"/>
      </w:rPr>
    </w:pPr>
    <w:r w:rsidRPr="008A33E0">
      <w:rPr>
        <w:noProof/>
        <w:sz w:val="18"/>
      </w:rPr>
      <mc:AlternateContent>
        <mc:Choice Requires="wps">
          <w:drawing>
            <wp:anchor distT="0" distB="0" distL="114300" distR="114300" simplePos="0" relativeHeight="251694592" behindDoc="0" locked="0" layoutInCell="1" allowOverlap="1" wp14:anchorId="4AEF0E33" wp14:editId="6BFB11C9">
              <wp:simplePos x="0" y="0"/>
              <wp:positionH relativeFrom="column">
                <wp:posOffset>-16510</wp:posOffset>
              </wp:positionH>
              <wp:positionV relativeFrom="paragraph">
                <wp:posOffset>645794</wp:posOffset>
              </wp:positionV>
              <wp:extent cx="3648883" cy="885825"/>
              <wp:effectExtent l="0" t="0" r="8890" b="9525"/>
              <wp:wrapNone/>
              <wp:docPr id="22" name="Casella di testo 22"/>
              <wp:cNvGraphicFramePr/>
              <a:graphic xmlns:a="http://schemas.openxmlformats.org/drawingml/2006/main">
                <a:graphicData uri="http://schemas.microsoft.com/office/word/2010/wordprocessingShape">
                  <wps:wsp>
                    <wps:cNvSpPr txBox="1"/>
                    <wps:spPr>
                      <a:xfrm>
                        <a:off x="0" y="0"/>
                        <a:ext cx="3648883" cy="885825"/>
                      </a:xfrm>
                      <a:prstGeom prst="rect">
                        <a:avLst/>
                      </a:prstGeom>
                      <a:noFill/>
                      <a:ln w="6350">
                        <a:noFill/>
                      </a:ln>
                    </wps:spPr>
                    <wps:txbx>
                      <w:txbxContent>
                        <w:tbl>
                          <w:tblPr>
                            <w:tblStyle w:val="Grigliatabella"/>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26"/>
                          </w:tblGrid>
                          <w:tr w:rsidR="00507FC7" w:rsidRPr="00560573" w14:paraId="54062D8E" w14:textId="77777777" w:rsidTr="00126FF0">
                            <w:trPr>
                              <w:trHeight w:val="1195"/>
                            </w:trPr>
                            <w:tc>
                              <w:tcPr>
                                <w:tcW w:w="3544" w:type="dxa"/>
                              </w:tcPr>
                              <w:p w14:paraId="24019B13" w14:textId="77777777" w:rsidR="00507FC7" w:rsidRPr="004649F8" w:rsidRDefault="00507FC7" w:rsidP="00126FF0">
                                <w:pPr>
                                  <w:rPr>
                                    <w:rFonts w:ascii="Arial Narrow" w:hAnsi="Arial Narrow"/>
                                    <w:b/>
                                    <w:bCs/>
                                    <w:color w:val="1F497D"/>
                                  </w:rPr>
                                </w:pPr>
                                <w:r w:rsidRPr="004649F8">
                                  <w:rPr>
                                    <w:rFonts w:ascii="Arial Narrow" w:hAnsi="Arial Narrow"/>
                                    <w:b/>
                                    <w:bCs/>
                                    <w:color w:val="1F497D"/>
                                  </w:rPr>
                                  <w:t>UFFICIO STAMPA</w:t>
                                </w:r>
                              </w:p>
                              <w:p w14:paraId="6CA6EE66" w14:textId="77777777" w:rsidR="00507FC7" w:rsidRPr="004649F8" w:rsidRDefault="00507FC7" w:rsidP="00126FF0">
                                <w:pPr>
                                  <w:rPr>
                                    <w:rFonts w:ascii="Arial Narrow" w:hAnsi="Arial Narrow"/>
                                    <w:color w:val="1F497D"/>
                                  </w:rPr>
                                </w:pPr>
                                <w:r w:rsidRPr="004649F8">
                                  <w:rPr>
                                    <w:rFonts w:ascii="Arial Narrow" w:hAnsi="Arial Narrow"/>
                                    <w:color w:val="1F497D"/>
                                  </w:rPr>
                                  <w:t>tel. +39 06 4673.2243/44</w:t>
                                </w:r>
                              </w:p>
                              <w:p w14:paraId="5B14AD16" w14:textId="77777777" w:rsidR="00507FC7" w:rsidRPr="004649F8" w:rsidRDefault="005666EF" w:rsidP="00126FF0">
                                <w:pPr>
                                  <w:rPr>
                                    <w:rFonts w:ascii="Arial Narrow" w:hAnsi="Arial Narrow"/>
                                    <w:color w:val="1F497D"/>
                                  </w:rPr>
                                </w:pPr>
                                <w:hyperlink r:id="rId1" w:history="1">
                                  <w:r w:rsidR="00507FC7" w:rsidRPr="002E68C4">
                                    <w:rPr>
                                      <w:rStyle w:val="Collegamentoipertestuale"/>
                                      <w:rFonts w:ascii="Arial Narrow" w:hAnsi="Arial Narrow"/>
                                      <w:color w:val="023859"/>
                                    </w:rPr>
                                    <w:t>ufficiostampa@istat.it</w:t>
                                  </w:r>
                                </w:hyperlink>
                              </w:p>
                            </w:tc>
                            <w:tc>
                              <w:tcPr>
                                <w:tcW w:w="2126" w:type="dxa"/>
                              </w:tcPr>
                              <w:p w14:paraId="4341081F" w14:textId="2458CB19" w:rsidR="00507FC7" w:rsidRPr="002E68C4" w:rsidRDefault="00507FC7" w:rsidP="00126FF0">
                                <w:pPr>
                                  <w:rPr>
                                    <w:rFonts w:ascii="Arial Narrow" w:hAnsi="Arial Narrow"/>
                                    <w:color w:val="1F497D"/>
                                    <w:lang w:val="en-US"/>
                                  </w:rPr>
                                </w:pPr>
                                <w:r w:rsidRPr="002E68C4">
                                  <w:rPr>
                                    <w:rFonts w:ascii="Arial Narrow" w:hAnsi="Arial Narrow"/>
                                    <w:b/>
                                    <w:bCs/>
                                    <w:color w:val="1F497D"/>
                                    <w:lang w:val="en-US"/>
                                  </w:rPr>
                                  <w:t>CONTACT CENTRE</w:t>
                                </w:r>
                                <w:r w:rsidRPr="002E68C4">
                                  <w:rPr>
                                    <w:rFonts w:ascii="Arial Narrow" w:hAnsi="Arial Narrow"/>
                                    <w:color w:val="1F497D"/>
                                    <w:lang w:val="en-US"/>
                                  </w:rPr>
                                  <w:br/>
                                </w:r>
                                <w:hyperlink r:id="rId2" w:history="1">
                                  <w:r w:rsidRPr="002E68C4">
                                    <w:rPr>
                                      <w:rStyle w:val="Collegamentoipertestuale"/>
                                      <w:rFonts w:ascii="Arial Narrow" w:hAnsi="Arial Narrow"/>
                                      <w:color w:val="023859"/>
                                      <w:lang w:val="en-US"/>
                                    </w:rPr>
                                    <w:t>contact.istat.it</w:t>
                                  </w:r>
                                </w:hyperlink>
                              </w:p>
                              <w:p w14:paraId="30E17304" w14:textId="77777777" w:rsidR="00507FC7" w:rsidRPr="002E68C4" w:rsidRDefault="00507FC7" w:rsidP="00126FF0">
                                <w:pPr>
                                  <w:rPr>
                                    <w:rFonts w:ascii="Arial Narrow" w:hAnsi="Arial Narrow"/>
                                    <w:color w:val="1F497D"/>
                                    <w:lang w:val="en-US"/>
                                  </w:rPr>
                                </w:pPr>
                              </w:p>
                            </w:tc>
                          </w:tr>
                        </w:tbl>
                        <w:p w14:paraId="0C0E76E8" w14:textId="77777777" w:rsidR="00507FC7" w:rsidRPr="004649F8" w:rsidRDefault="00507FC7" w:rsidP="00495950">
                          <w:pPr>
                            <w:rPr>
                              <w:rFonts w:ascii="Arial Narrow" w:hAnsi="Arial Narrow"/>
                              <w:color w:val="1F497D"/>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F0E33" id="_x0000_t202" coordsize="21600,21600" o:spt="202" path="m,l,21600r21600,l21600,xe">
              <v:stroke joinstyle="miter"/>
              <v:path gradientshapeok="t" o:connecttype="rect"/>
            </v:shapetype>
            <v:shape id="Casella di testo 22" o:spid="_x0000_s1027" type="#_x0000_t202" style="position:absolute;left:0;text-align:left;margin-left:-1.3pt;margin-top:50.85pt;width:287.3pt;height:69.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" filled="f" stroked="f" strokeweight=".5pt">
              <v:textbox inset="0,0,0,0">
                <w:txbxContent>
                  <w:tbl>
                    <w:tblPr>
                      <w:tblStyle w:val="Grigliatabella"/>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26"/>
                    </w:tblGrid>
                    <w:tr w:rsidR="00507FC7" w:rsidRPr="00560573" w14:paraId="54062D8E" w14:textId="77777777" w:rsidTr="00126FF0">
                      <w:trPr>
                        <w:trHeight w:val="1195"/>
                      </w:trPr>
                      <w:tc>
                        <w:tcPr>
                          <w:tcW w:w="3544" w:type="dxa"/>
                        </w:tcPr>
                        <w:p w14:paraId="24019B13" w14:textId="77777777" w:rsidR="00507FC7" w:rsidRPr="004649F8" w:rsidRDefault="00507FC7" w:rsidP="00126FF0">
                          <w:pPr>
                            <w:rPr>
                              <w:rFonts w:ascii="Arial Narrow" w:hAnsi="Arial Narrow"/>
                              <w:b/>
                              <w:bCs/>
                              <w:color w:val="1F497D"/>
                            </w:rPr>
                          </w:pPr>
                          <w:r w:rsidRPr="004649F8">
                            <w:rPr>
                              <w:rFonts w:ascii="Arial Narrow" w:hAnsi="Arial Narrow"/>
                              <w:b/>
                              <w:bCs/>
                              <w:color w:val="1F497D"/>
                            </w:rPr>
                            <w:t>UFFICIO STAMPA</w:t>
                          </w:r>
                        </w:p>
                        <w:p w14:paraId="6CA6EE66" w14:textId="77777777" w:rsidR="00507FC7" w:rsidRPr="004649F8" w:rsidRDefault="00507FC7" w:rsidP="00126FF0">
                          <w:pPr>
                            <w:rPr>
                              <w:rFonts w:ascii="Arial Narrow" w:hAnsi="Arial Narrow"/>
                              <w:color w:val="1F497D"/>
                            </w:rPr>
                          </w:pPr>
                          <w:r w:rsidRPr="004649F8">
                            <w:rPr>
                              <w:rFonts w:ascii="Arial Narrow" w:hAnsi="Arial Narrow"/>
                              <w:color w:val="1F497D"/>
                            </w:rPr>
                            <w:t>tel. +39 06 4673.2243/44</w:t>
                          </w:r>
                        </w:p>
                        <w:p w14:paraId="5B14AD16" w14:textId="77777777" w:rsidR="00507FC7" w:rsidRPr="004649F8" w:rsidRDefault="005666EF" w:rsidP="00126FF0">
                          <w:pPr>
                            <w:rPr>
                              <w:rFonts w:ascii="Arial Narrow" w:hAnsi="Arial Narrow"/>
                              <w:color w:val="1F497D"/>
                            </w:rPr>
                          </w:pPr>
                          <w:hyperlink r:id="rId3" w:history="1">
                            <w:r w:rsidR="00507FC7" w:rsidRPr="002E68C4">
                              <w:rPr>
                                <w:rStyle w:val="Collegamentoipertestuale"/>
                                <w:rFonts w:ascii="Arial Narrow" w:hAnsi="Arial Narrow"/>
                                <w:color w:val="023859"/>
                              </w:rPr>
                              <w:t>ufficiostampa@istat.it</w:t>
                            </w:r>
                          </w:hyperlink>
                        </w:p>
                      </w:tc>
                      <w:tc>
                        <w:tcPr>
                          <w:tcW w:w="2126" w:type="dxa"/>
                        </w:tcPr>
                        <w:p w14:paraId="4341081F" w14:textId="2458CB19" w:rsidR="00507FC7" w:rsidRPr="002E68C4" w:rsidRDefault="00507FC7" w:rsidP="00126FF0">
                          <w:pPr>
                            <w:rPr>
                              <w:rFonts w:ascii="Arial Narrow" w:hAnsi="Arial Narrow"/>
                              <w:color w:val="1F497D"/>
                              <w:lang w:val="en-US"/>
                            </w:rPr>
                          </w:pPr>
                          <w:r w:rsidRPr="002E68C4">
                            <w:rPr>
                              <w:rFonts w:ascii="Arial Narrow" w:hAnsi="Arial Narrow"/>
                              <w:b/>
                              <w:bCs/>
                              <w:color w:val="1F497D"/>
                              <w:lang w:val="en-US"/>
                            </w:rPr>
                            <w:t>CONTACT CENTRE</w:t>
                          </w:r>
                          <w:r w:rsidRPr="002E68C4">
                            <w:rPr>
                              <w:rFonts w:ascii="Arial Narrow" w:hAnsi="Arial Narrow"/>
                              <w:color w:val="1F497D"/>
                              <w:lang w:val="en-US"/>
                            </w:rPr>
                            <w:br/>
                          </w:r>
                          <w:hyperlink r:id="rId4" w:history="1">
                            <w:r w:rsidRPr="002E68C4">
                              <w:rPr>
                                <w:rStyle w:val="Collegamentoipertestuale"/>
                                <w:rFonts w:ascii="Arial Narrow" w:hAnsi="Arial Narrow"/>
                                <w:color w:val="023859"/>
                                <w:lang w:val="en-US"/>
                              </w:rPr>
                              <w:t>contact.istat.it</w:t>
                            </w:r>
                          </w:hyperlink>
                        </w:p>
                        <w:p w14:paraId="30E17304" w14:textId="77777777" w:rsidR="00507FC7" w:rsidRPr="002E68C4" w:rsidRDefault="00507FC7" w:rsidP="00126FF0">
                          <w:pPr>
                            <w:rPr>
                              <w:rFonts w:ascii="Arial Narrow" w:hAnsi="Arial Narrow"/>
                              <w:color w:val="1F497D"/>
                              <w:lang w:val="en-US"/>
                            </w:rPr>
                          </w:pPr>
                        </w:p>
                      </w:tc>
                    </w:tr>
                  </w:tbl>
                  <w:p w14:paraId="0C0E76E8" w14:textId="77777777" w:rsidR="00507FC7" w:rsidRPr="004649F8" w:rsidRDefault="00507FC7" w:rsidP="00495950">
                    <w:pPr>
                      <w:rPr>
                        <w:rFonts w:ascii="Arial Narrow" w:hAnsi="Arial Narrow"/>
                        <w:color w:val="1F497D"/>
                        <w:lang w:val="en-US"/>
                      </w:rPr>
                    </w:pPr>
                  </w:p>
                </w:txbxContent>
              </v:textbox>
            </v:shape>
          </w:pict>
        </mc:Fallback>
      </mc:AlternateContent>
    </w:r>
    <w:r w:rsidRPr="008A33E0">
      <w:rPr>
        <w:noProof/>
        <w:sz w:val="18"/>
      </w:rPr>
      <w:drawing>
        <wp:inline distT="0" distB="0" distL="0" distR="0" wp14:anchorId="33FF9156" wp14:editId="5B82243D">
          <wp:extent cx="7534800" cy="164160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estateReport_Tavola disegno 1 copia.jpg"/>
                  <pic:cNvPicPr/>
                </pic:nvPicPr>
                <pic:blipFill>
                  <a:blip r:embed="rId5"/>
                  <a:stretch>
                    <a:fillRect/>
                  </a:stretch>
                </pic:blipFill>
                <pic:spPr>
                  <a:xfrm>
                    <a:off x="0" y="0"/>
                    <a:ext cx="7534800" cy="16416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highlight w:val="lightGray"/>
      </w:rPr>
      <w:id w:val="-71812330"/>
      <w:docPartObj>
        <w:docPartGallery w:val="Page Numbers (Bottom of Page)"/>
        <w:docPartUnique/>
      </w:docPartObj>
    </w:sdtPr>
    <w:sdtEndPr/>
    <w:sdtContent>
      <w:p w14:paraId="5B86A738" w14:textId="77777777" w:rsidR="00507FC7" w:rsidRDefault="00507FC7">
        <w:pPr>
          <w:rPr>
            <w:rFonts w:asciiTheme="majorHAnsi" w:eastAsiaTheme="majorEastAsia" w:hAnsiTheme="majorHAnsi" w:cstheme="majorBidi"/>
          </w:rPr>
        </w:pPr>
        <w:r>
          <w:rPr>
            <w:noProof/>
            <w:sz w:val="28"/>
            <w:szCs w:val="28"/>
          </w:rPr>
          <mc:AlternateContent>
            <mc:Choice Requires="wps">
              <w:drawing>
                <wp:anchor distT="4294967294" distB="4294967294" distL="114300" distR="114300" simplePos="0" relativeHeight="251685376" behindDoc="0" locked="0" layoutInCell="1" allowOverlap="1" wp14:anchorId="6D1CB235" wp14:editId="00ED7D90">
                  <wp:simplePos x="0" y="0"/>
                  <wp:positionH relativeFrom="column">
                    <wp:posOffset>-10160</wp:posOffset>
                  </wp:positionH>
                  <wp:positionV relativeFrom="paragraph">
                    <wp:posOffset>-2532381</wp:posOffset>
                  </wp:positionV>
                  <wp:extent cx="6299835" cy="0"/>
                  <wp:effectExtent l="0" t="0" r="24765" b="19050"/>
                  <wp:wrapNone/>
                  <wp:docPr id="18" name="Connettore 1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D0FC9E" id="Connettore 1 12" o:spid="_x0000_s1026" style="position:absolute;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pt,-199.4pt" to="495.25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" strokecolor="white [3212]" strokeweight="1.25pt">
                  <o:lock v:ext="edit" shapetype="f"/>
                </v:line>
              </w:pict>
            </mc:Fallback>
          </mc:AlternateContent>
        </w:r>
        <w:r>
          <w:rPr>
            <w:noProof/>
            <w:sz w:val="28"/>
            <w:szCs w:val="28"/>
          </w:rPr>
          <mc:AlternateContent>
            <mc:Choice Requires="wps">
              <w:drawing>
                <wp:anchor distT="4294967294" distB="4294967294" distL="114300" distR="114300" simplePos="0" relativeHeight="251663872" behindDoc="0" locked="0" layoutInCell="1" allowOverlap="1" wp14:anchorId="31F6BCC7" wp14:editId="61B4F25D">
                  <wp:simplePos x="0" y="0"/>
                  <wp:positionH relativeFrom="column">
                    <wp:posOffset>-10160</wp:posOffset>
                  </wp:positionH>
                  <wp:positionV relativeFrom="paragraph">
                    <wp:posOffset>-127636</wp:posOffset>
                  </wp:positionV>
                  <wp:extent cx="6299835" cy="0"/>
                  <wp:effectExtent l="0" t="0" r="24765" b="19050"/>
                  <wp:wrapNone/>
                  <wp:docPr id="17" name="Connettore 1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756DFD" id="Connettore 1 28"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pt,-10.05pt" to="495.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" strokecolor="white [3212]" strokeweight="1.25pt">
                  <o:lock v:ext="edit" shapetype="f"/>
                </v:line>
              </w:pict>
            </mc:Fallback>
          </mc:AlternateContent>
        </w:r>
        <w:r w:rsidRPr="00A17739">
          <w:rPr>
            <w:rFonts w:ascii="Arial" w:hAnsi="Arial" w:cs="Arial"/>
            <w:noProof/>
            <w:sz w:val="22"/>
            <w:szCs w:val="22"/>
          </w:rPr>
          <w:drawing>
            <wp:anchor distT="0" distB="0" distL="114300" distR="114300" simplePos="0" relativeHeight="251659776" behindDoc="0" locked="0" layoutInCell="1" allowOverlap="1" wp14:anchorId="75C2B77B" wp14:editId="4A05DC2C">
              <wp:simplePos x="0" y="0"/>
              <wp:positionH relativeFrom="column">
                <wp:posOffset>-545465</wp:posOffset>
              </wp:positionH>
              <wp:positionV relativeFrom="paragraph">
                <wp:posOffset>-3345505</wp:posOffset>
              </wp:positionV>
              <wp:extent cx="466725" cy="483235"/>
              <wp:effectExtent l="0" t="0" r="9525" b="0"/>
              <wp:wrapNone/>
              <wp:docPr id="38" name="Immagin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66725" cy="483235"/>
                      </a:xfrm>
                      <a:prstGeom prst="rect">
                        <a:avLst/>
                      </a:prstGeom>
                    </pic:spPr>
                  </pic:pic>
                </a:graphicData>
              </a:graphic>
            </wp:anchor>
          </w:drawing>
        </w:r>
        <w:sdt>
          <w:sdtPr>
            <w:rPr>
              <w:rFonts w:asciiTheme="majorHAnsi" w:eastAsiaTheme="majorEastAsia" w:hAnsiTheme="majorHAnsi" w:cstheme="majorBidi"/>
              <w:highlight w:val="lightGray"/>
            </w:rPr>
            <w:id w:val="-32272902"/>
            <w:docPartObj>
              <w:docPartGallery w:val="Page Numbers (Margins)"/>
              <w:docPartUnique/>
            </w:docPartObj>
          </w:sdtPr>
          <w:sdtEndPr/>
          <w:sdtContent>
            <w:r>
              <w:rPr>
                <w:rFonts w:ascii="Arial Narrow" w:hAnsi="Arial Narrow"/>
                <w:noProof/>
                <w:color w:val="FFFFFF" w:themeColor="background1"/>
              </w:rPr>
              <mc:AlternateContent>
                <mc:Choice Requires="wps">
                  <w:drawing>
                    <wp:anchor distT="0" distB="0" distL="114300" distR="114300" simplePos="0" relativeHeight="251653632" behindDoc="0" locked="0" layoutInCell="0" allowOverlap="1" wp14:anchorId="5DDC72CD" wp14:editId="6D2D151C">
                      <wp:simplePos x="0" y="0"/>
                      <wp:positionH relativeFrom="rightMargin">
                        <wp:posOffset>179070</wp:posOffset>
                      </wp:positionH>
                      <wp:positionV relativeFrom="margin">
                        <wp:posOffset>9758045</wp:posOffset>
                      </wp:positionV>
                      <wp:extent cx="398780" cy="329565"/>
                      <wp:effectExtent l="0" t="0" r="0" b="0"/>
                      <wp:wrapNone/>
                      <wp:docPr id="16"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80" cy="329565"/>
                              </a:xfrm>
                              <a:prstGeom prst="rect">
                                <a:avLst/>
                              </a:prstGeom>
                              <a:noFill/>
                            </wps:spPr>
                            <wps:txbx>
                              <w:txbxContent>
                                <w:p w14:paraId="2512EB1E" w14:textId="1FF1906C" w:rsidR="00507FC7" w:rsidRPr="001B745D" w:rsidRDefault="00507FC7" w:rsidP="00CA469E">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5666EF">
                                    <w:rPr>
                                      <w:rFonts w:ascii="Arial" w:hAnsi="Arial" w:cs="Arial"/>
                                      <w:b/>
                                      <w:noProof/>
                                      <w:color w:val="244061" w:themeColor="accent1" w:themeShade="80"/>
                                      <w:sz w:val="20"/>
                                      <w:szCs w:val="20"/>
                                    </w:rPr>
                                    <w:t>9</w:t>
                                  </w:r>
                                  <w:r w:rsidRPr="00CA469E">
                                    <w:rPr>
                                      <w:rFonts w:ascii="Arial" w:hAnsi="Arial" w:cs="Arial"/>
                                      <w:b/>
                                      <w:color w:val="244061" w:themeColor="accent1" w:themeShade="80"/>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DDC72CD" id="Rettangolo 4" o:spid="_x0000_s1028" style="position:absolute;margin-left:14.1pt;margin-top:768.35pt;width:31.4pt;height:25.95pt;z-index:251653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" o:allowincell="f" filled="f" stroked="f">
                      <v:textbox>
                        <w:txbxContent>
                          <w:p w14:paraId="2512EB1E" w14:textId="1FF1906C" w:rsidR="00507FC7" w:rsidRPr="001B745D" w:rsidRDefault="00507FC7" w:rsidP="00CA469E">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5666EF">
                              <w:rPr>
                                <w:rFonts w:ascii="Arial" w:hAnsi="Arial" w:cs="Arial"/>
                                <w:b/>
                                <w:noProof/>
                                <w:color w:val="244061" w:themeColor="accent1" w:themeShade="80"/>
                                <w:sz w:val="20"/>
                                <w:szCs w:val="20"/>
                              </w:rPr>
                              <w:t>9</w:t>
                            </w:r>
                            <w:r w:rsidRPr="00CA469E">
                              <w:rPr>
                                <w:rFonts w:ascii="Arial" w:hAnsi="Arial" w:cs="Arial"/>
                                <w:b/>
                                <w:color w:val="244061" w:themeColor="accent1" w:themeShade="80"/>
                                <w:sz w:val="20"/>
                                <w:szCs w:val="20"/>
                              </w:rPr>
                              <w:fldChar w:fldCharType="end"/>
                            </w:r>
                          </w:p>
                        </w:txbxContent>
                      </v:textbox>
                      <w10:wrap anchorx="margin" anchory="margin"/>
                    </v:rect>
                  </w:pict>
                </mc:Fallback>
              </mc:AlternateContent>
            </w:r>
            <w:r>
              <w:rPr>
                <w:noProof/>
              </w:rPr>
              <w:drawing>
                <wp:anchor distT="0" distB="0" distL="114300" distR="114300" simplePos="0" relativeHeight="251654656" behindDoc="0" locked="0" layoutInCell="1" allowOverlap="1" wp14:anchorId="758FCFED" wp14:editId="2928A193">
                  <wp:simplePos x="0" y="0"/>
                  <wp:positionH relativeFrom="column">
                    <wp:posOffset>5678170</wp:posOffset>
                  </wp:positionH>
                  <wp:positionV relativeFrom="paragraph">
                    <wp:posOffset>-263525</wp:posOffset>
                  </wp:positionV>
                  <wp:extent cx="1256030" cy="788035"/>
                  <wp:effectExtent l="0" t="0" r="1270" b="0"/>
                  <wp:wrapNone/>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estateReport_Tavola disegno 1 copia 2.png"/>
                          <pic:cNvPicPr/>
                        </pic:nvPicPr>
                        <pic:blipFill>
                          <a:blip r:embed="rId2"/>
                          <a:stretch>
                            <a:fillRect/>
                          </a:stretch>
                        </pic:blipFill>
                        <pic:spPr>
                          <a:xfrm>
                            <a:off x="0" y="0"/>
                            <a:ext cx="1256030" cy="788035"/>
                          </a:xfrm>
                          <a:prstGeom prst="rect">
                            <a:avLst/>
                          </a:prstGeom>
                        </pic:spPr>
                      </pic:pic>
                    </a:graphicData>
                  </a:graphic>
                </wp:anchor>
              </w:drawing>
            </w:r>
            <w:r>
              <w:rPr>
                <w:rFonts w:asciiTheme="majorHAnsi" w:eastAsiaTheme="majorEastAsia" w:hAnsiTheme="majorHAnsi" w:cstheme="majorBidi"/>
                <w:noProof/>
              </w:rPr>
              <mc:AlternateContent>
                <mc:Choice Requires="wps">
                  <w:drawing>
                    <wp:anchor distT="0" distB="0" distL="114300" distR="114300" simplePos="0" relativeHeight="251643392" behindDoc="0" locked="0" layoutInCell="1" allowOverlap="1" wp14:anchorId="16CB3C3A" wp14:editId="0DD23CEA">
                      <wp:simplePos x="0" y="0"/>
                      <wp:positionH relativeFrom="column">
                        <wp:posOffset>-620395</wp:posOffset>
                      </wp:positionH>
                      <wp:positionV relativeFrom="paragraph">
                        <wp:posOffset>-3084195</wp:posOffset>
                      </wp:positionV>
                      <wp:extent cx="7553325" cy="3476625"/>
                      <wp:effectExtent l="0" t="0" r="9525" b="9525"/>
                      <wp:wrapNone/>
                      <wp:docPr id="15"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34766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F29CF1" id="Rettangolo 10" o:spid="_x0000_s1026" style="position:absolute;margin-left:-48.85pt;margin-top:-242.85pt;width:594.75pt;height:273.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" fillcolor="#d8d8d8 [2732]" stroked="f" strokeweight="2pt">
                      <v:path arrowok="t"/>
                    </v:rect>
                  </w:pict>
                </mc:Fallback>
              </mc:AlternateContent>
            </w:r>
          </w:sdtContent>
        </w:sdt>
      </w:p>
    </w:sdtContent>
  </w:sdt>
  <w:p w14:paraId="57C9FE50" w14:textId="77777777" w:rsidR="00507FC7" w:rsidRDefault="00507FC7" w:rsidP="00842757">
    <w:pPr>
      <w:pStyle w:val="Pidipagina"/>
      <w:tabs>
        <w:tab w:val="clear" w:pos="4819"/>
        <w:tab w:val="clear" w:pos="9638"/>
        <w:tab w:val="left" w:pos="7773"/>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highlight w:val="lightGray"/>
      </w:rPr>
      <w:id w:val="-1552604650"/>
      <w:docPartObj>
        <w:docPartGallery w:val="Page Numbers (Bottom of Page)"/>
        <w:docPartUnique/>
      </w:docPartObj>
    </w:sdtPr>
    <w:sdtEndPr/>
    <w:sdtContent>
      <w:p w14:paraId="3325FAF2" w14:textId="77777777" w:rsidR="00507FC7" w:rsidRDefault="00507FC7">
        <w:pPr>
          <w:rPr>
            <w:rFonts w:asciiTheme="majorHAnsi" w:eastAsiaTheme="majorEastAsia" w:hAnsiTheme="majorHAnsi" w:cstheme="majorBidi"/>
          </w:rPr>
        </w:pPr>
        <w:r>
          <w:rPr>
            <w:noProof/>
            <w:sz w:val="28"/>
            <w:szCs w:val="28"/>
          </w:rPr>
          <mc:AlternateContent>
            <mc:Choice Requires="wps">
              <w:drawing>
                <wp:anchor distT="4294967294" distB="4294967294" distL="114300" distR="114300" simplePos="0" relativeHeight="251692544" behindDoc="0" locked="0" layoutInCell="1" allowOverlap="1" wp14:anchorId="55778731" wp14:editId="658A46C1">
                  <wp:simplePos x="0" y="0"/>
                  <wp:positionH relativeFrom="column">
                    <wp:posOffset>-10160</wp:posOffset>
                  </wp:positionH>
                  <wp:positionV relativeFrom="paragraph">
                    <wp:posOffset>-2532381</wp:posOffset>
                  </wp:positionV>
                  <wp:extent cx="6299835" cy="0"/>
                  <wp:effectExtent l="0" t="0" r="24765" b="19050"/>
                  <wp:wrapNone/>
                  <wp:docPr id="14" name="Connettore 1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C16263" id="Connettore 1 12" o:spid="_x0000_s1026" style="position:absolute;z-index:251692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pt,-199.4pt" to="495.25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" strokecolor="white [3212]" strokeweight="1.25pt">
                  <o:lock v:ext="edit" shapetype="f"/>
                </v:line>
              </w:pict>
            </mc:Fallback>
          </mc:AlternateContent>
        </w:r>
        <w:r>
          <w:rPr>
            <w:noProof/>
            <w:sz w:val="28"/>
            <w:szCs w:val="28"/>
          </w:rPr>
          <mc:AlternateContent>
            <mc:Choice Requires="wps">
              <w:drawing>
                <wp:anchor distT="4294967294" distB="4294967294" distL="114300" distR="114300" simplePos="0" relativeHeight="251691520" behindDoc="0" locked="0" layoutInCell="1" allowOverlap="1" wp14:anchorId="04C93FCB" wp14:editId="37A114E1">
                  <wp:simplePos x="0" y="0"/>
                  <wp:positionH relativeFrom="column">
                    <wp:posOffset>-10160</wp:posOffset>
                  </wp:positionH>
                  <wp:positionV relativeFrom="paragraph">
                    <wp:posOffset>-127636</wp:posOffset>
                  </wp:positionV>
                  <wp:extent cx="6299835" cy="0"/>
                  <wp:effectExtent l="0" t="0" r="24765" b="19050"/>
                  <wp:wrapNone/>
                  <wp:docPr id="28" name="Connettore 1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BBC356" id="Connettore 1 28" o:spid="_x0000_s1026" style="position:absolute;z-index:251691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pt,-10.05pt" to="495.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" strokecolor="white [3212]" strokeweight="1.25pt">
                  <o:lock v:ext="edit" shapetype="f"/>
                </v:line>
              </w:pict>
            </mc:Fallback>
          </mc:AlternateContent>
        </w:r>
        <w:sdt>
          <w:sdtPr>
            <w:rPr>
              <w:rFonts w:asciiTheme="majorHAnsi" w:eastAsiaTheme="majorEastAsia" w:hAnsiTheme="majorHAnsi" w:cstheme="majorBidi"/>
              <w:highlight w:val="lightGray"/>
            </w:rPr>
            <w:id w:val="-156538668"/>
            <w:docPartObj>
              <w:docPartGallery w:val="Page Numbers (Margins)"/>
              <w:docPartUnique/>
            </w:docPartObj>
          </w:sdtPr>
          <w:sdtEndPr/>
          <w:sdtContent>
            <w:r>
              <w:rPr>
                <w:rFonts w:ascii="Arial Narrow" w:hAnsi="Arial Narrow"/>
                <w:noProof/>
                <w:color w:val="FFFFFF" w:themeColor="background1"/>
              </w:rPr>
              <mc:AlternateContent>
                <mc:Choice Requires="wps">
                  <w:drawing>
                    <wp:anchor distT="0" distB="0" distL="114300" distR="114300" simplePos="0" relativeHeight="251689472" behindDoc="0" locked="0" layoutInCell="0" allowOverlap="1" wp14:anchorId="39AAD62D" wp14:editId="69E75F67">
                      <wp:simplePos x="0" y="0"/>
                      <wp:positionH relativeFrom="rightMargin">
                        <wp:posOffset>179070</wp:posOffset>
                      </wp:positionH>
                      <wp:positionV relativeFrom="margin">
                        <wp:posOffset>9758045</wp:posOffset>
                      </wp:positionV>
                      <wp:extent cx="398780"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80" cy="329565"/>
                              </a:xfrm>
                              <a:prstGeom prst="rect">
                                <a:avLst/>
                              </a:prstGeom>
                              <a:noFill/>
                            </wps:spPr>
                            <wps:txbx>
                              <w:txbxContent>
                                <w:p w14:paraId="67873161" w14:textId="2EE56C97" w:rsidR="00507FC7" w:rsidRPr="001B745D" w:rsidRDefault="00507FC7" w:rsidP="00CA469E">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1078F4">
                                    <w:rPr>
                                      <w:rFonts w:ascii="Arial" w:hAnsi="Arial" w:cs="Arial"/>
                                      <w:b/>
                                      <w:noProof/>
                                      <w:color w:val="244061" w:themeColor="accent1" w:themeShade="80"/>
                                      <w:sz w:val="20"/>
                                      <w:szCs w:val="20"/>
                                    </w:rPr>
                                    <w:t>11</w:t>
                                  </w:r>
                                  <w:r w:rsidRPr="00CA469E">
                                    <w:rPr>
                                      <w:rFonts w:ascii="Arial" w:hAnsi="Arial" w:cs="Arial"/>
                                      <w:b/>
                                      <w:color w:val="244061" w:themeColor="accent1" w:themeShade="80"/>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9AAD62D" id="_x0000_s1029" style="position:absolute;margin-left:14.1pt;margin-top:768.35pt;width:31.4pt;height:25.95pt;z-index:251689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" o:allowincell="f" filled="f" stroked="f">
                      <v:textbox>
                        <w:txbxContent>
                          <w:p w14:paraId="67873161" w14:textId="2EE56C97" w:rsidR="00507FC7" w:rsidRPr="001B745D" w:rsidRDefault="00507FC7" w:rsidP="00CA469E">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1078F4">
                              <w:rPr>
                                <w:rFonts w:ascii="Arial" w:hAnsi="Arial" w:cs="Arial"/>
                                <w:b/>
                                <w:noProof/>
                                <w:color w:val="244061" w:themeColor="accent1" w:themeShade="80"/>
                                <w:sz w:val="20"/>
                                <w:szCs w:val="20"/>
                              </w:rPr>
                              <w:t>11</w:t>
                            </w:r>
                            <w:r w:rsidRPr="00CA469E">
                              <w:rPr>
                                <w:rFonts w:ascii="Arial" w:hAnsi="Arial" w:cs="Arial"/>
                                <w:b/>
                                <w:color w:val="244061" w:themeColor="accent1" w:themeShade="80"/>
                                <w:sz w:val="20"/>
                                <w:szCs w:val="20"/>
                              </w:rPr>
                              <w:fldChar w:fldCharType="end"/>
                            </w:r>
                          </w:p>
                        </w:txbxContent>
                      </v:textbox>
                      <w10:wrap anchorx="margin" anchory="margin"/>
                    </v:rect>
                  </w:pict>
                </mc:Fallback>
              </mc:AlternateContent>
            </w:r>
            <w:r>
              <w:rPr>
                <w:noProof/>
              </w:rPr>
              <w:drawing>
                <wp:anchor distT="0" distB="0" distL="114300" distR="114300" simplePos="0" relativeHeight="251688448" behindDoc="0" locked="0" layoutInCell="1" allowOverlap="1" wp14:anchorId="6C43D133" wp14:editId="00BD891E">
                  <wp:simplePos x="0" y="0"/>
                  <wp:positionH relativeFrom="column">
                    <wp:posOffset>5678170</wp:posOffset>
                  </wp:positionH>
                  <wp:positionV relativeFrom="paragraph">
                    <wp:posOffset>-263525</wp:posOffset>
                  </wp:positionV>
                  <wp:extent cx="1256030" cy="788035"/>
                  <wp:effectExtent l="0" t="0" r="1270"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estateReport_Tavola disegno 1 copia 2.png"/>
                          <pic:cNvPicPr/>
                        </pic:nvPicPr>
                        <pic:blipFill>
                          <a:blip r:embed="rId1"/>
                          <a:stretch>
                            <a:fillRect/>
                          </a:stretch>
                        </pic:blipFill>
                        <pic:spPr>
                          <a:xfrm>
                            <a:off x="0" y="0"/>
                            <a:ext cx="1256030" cy="788035"/>
                          </a:xfrm>
                          <a:prstGeom prst="rect">
                            <a:avLst/>
                          </a:prstGeom>
                        </pic:spPr>
                      </pic:pic>
                    </a:graphicData>
                  </a:graphic>
                </wp:anchor>
              </w:drawing>
            </w:r>
          </w:sdtContent>
        </w:sdt>
      </w:p>
    </w:sdtContent>
  </w:sdt>
  <w:p w14:paraId="5318DAC6" w14:textId="77777777" w:rsidR="00507FC7" w:rsidRDefault="00507FC7" w:rsidP="00842757">
    <w:pPr>
      <w:pStyle w:val="Pidipagina"/>
      <w:tabs>
        <w:tab w:val="clear" w:pos="4819"/>
        <w:tab w:val="clear" w:pos="9638"/>
        <w:tab w:val="left" w:pos="777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56A9F" w14:textId="77777777" w:rsidR="00507FC7" w:rsidRDefault="00507FC7">
      <w:r>
        <w:separator/>
      </w:r>
    </w:p>
  </w:footnote>
  <w:footnote w:type="continuationSeparator" w:id="0">
    <w:p w14:paraId="72055E1E" w14:textId="77777777" w:rsidR="00507FC7" w:rsidRDefault="00507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873D7" w14:textId="77777777" w:rsidR="00507FC7" w:rsidRDefault="00507FC7" w:rsidP="00DF2FE2">
    <w:pPr>
      <w:pStyle w:val="Intestazione"/>
      <w:tabs>
        <w:tab w:val="left" w:pos="0"/>
      </w:tabs>
      <w:ind w:left="-851"/>
    </w:pPr>
    <w:r>
      <w:rPr>
        <w:noProof/>
      </w:rPr>
      <mc:AlternateContent>
        <mc:Choice Requires="wps">
          <w:drawing>
            <wp:anchor distT="0" distB="0" distL="114300" distR="114300" simplePos="0" relativeHeight="251657216" behindDoc="0" locked="0" layoutInCell="1" allowOverlap="1" wp14:anchorId="7D93F9AB" wp14:editId="2A5F97A7">
              <wp:simplePos x="0" y="0"/>
              <wp:positionH relativeFrom="page">
                <wp:posOffset>5810249</wp:posOffset>
              </wp:positionH>
              <wp:positionV relativeFrom="paragraph">
                <wp:posOffset>0</wp:posOffset>
              </wp:positionV>
              <wp:extent cx="1745615" cy="396240"/>
              <wp:effectExtent l="0" t="0" r="6985" b="381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396240"/>
                      </a:xfrm>
                      <a:prstGeom prst="rect">
                        <a:avLst/>
                      </a:prstGeom>
                      <a:solidFill>
                        <a:schemeClr val="tx2"/>
                      </a:solidFill>
                      <a:ln>
                        <a:noFill/>
                      </a:ln>
                    </wps:spPr>
                    <wps:txbx>
                      <w:txbxContent>
                        <w:p w14:paraId="0241F37B" w14:textId="77777777" w:rsidR="00507FC7" w:rsidRPr="00A804E3" w:rsidRDefault="00507FC7" w:rsidP="00DF2FE2">
                          <w:pPr>
                            <w:autoSpaceDE w:val="0"/>
                            <w:autoSpaceDN w:val="0"/>
                            <w:adjustRightInd w:val="0"/>
                            <w:jc w:val="center"/>
                            <w:rPr>
                              <w:rFonts w:ascii="Arial Narrow" w:hAnsi="Arial Narrow" w:cs="Arial"/>
                              <w:b/>
                              <w:bCs/>
                              <w:color w:val="FFFFFF" w:themeColor="background1"/>
                              <w:sz w:val="8"/>
                              <w:szCs w:val="26"/>
                            </w:rPr>
                          </w:pPr>
                        </w:p>
                        <w:p w14:paraId="37267646" w14:textId="3C614162" w:rsidR="00507FC7" w:rsidRPr="000E5B84" w:rsidRDefault="00507FC7" w:rsidP="00556381">
                          <w:pPr>
                            <w:autoSpaceDE w:val="0"/>
                            <w:autoSpaceDN w:val="0"/>
                            <w:adjustRightInd w:val="0"/>
                            <w:spacing w:before="40"/>
                            <w:rPr>
                              <w:rFonts w:ascii="Arial Narrow" w:hAnsi="Arial Narrow" w:cs="Arial"/>
                              <w:b/>
                              <w:bCs/>
                              <w:color w:val="FFFFFF" w:themeColor="background1"/>
                              <w:sz w:val="26"/>
                              <w:szCs w:val="26"/>
                            </w:rPr>
                          </w:pPr>
                          <w:r w:rsidRPr="000E5B84">
                            <w:rPr>
                              <w:rFonts w:ascii="Arial Narrow" w:hAnsi="Arial Narrow" w:cs="Arial"/>
                              <w:b/>
                              <w:bCs/>
                              <w:color w:val="FFFFFF" w:themeColor="background1"/>
                              <w:sz w:val="26"/>
                              <w:szCs w:val="26"/>
                            </w:rPr>
                            <w:t xml:space="preserve">       </w:t>
                          </w:r>
                          <w:r>
                            <w:rPr>
                              <w:rFonts w:ascii="Arial Narrow" w:hAnsi="Arial Narrow" w:cs="Arial"/>
                              <w:b/>
                              <w:bCs/>
                              <w:color w:val="FFFFFF" w:themeColor="background1"/>
                              <w:sz w:val="26"/>
                              <w:szCs w:val="26"/>
                            </w:rPr>
                            <w:t>18</w:t>
                          </w:r>
                          <w:r w:rsidRPr="000E5B84">
                            <w:rPr>
                              <w:rFonts w:ascii="Arial Narrow" w:hAnsi="Arial Narrow" w:cs="Arial"/>
                              <w:b/>
                              <w:bCs/>
                              <w:color w:val="FFFFFF" w:themeColor="background1"/>
                              <w:sz w:val="26"/>
                              <w:szCs w:val="26"/>
                            </w:rPr>
                            <w:t xml:space="preserve"> </w:t>
                          </w:r>
                          <w:r>
                            <w:rPr>
                              <w:rFonts w:ascii="Arial Narrow" w:hAnsi="Arial Narrow" w:cs="Arial"/>
                              <w:b/>
                              <w:bCs/>
                              <w:color w:val="FFFFFF" w:themeColor="background1"/>
                              <w:sz w:val="26"/>
                              <w:szCs w:val="26"/>
                            </w:rPr>
                            <w:t>DICEMBRE</w:t>
                          </w:r>
                          <w:r w:rsidRPr="000E5B84">
                            <w:rPr>
                              <w:rFonts w:ascii="Arial Narrow" w:hAnsi="Arial Narrow" w:cs="Arial"/>
                              <w:b/>
                              <w:bCs/>
                              <w:color w:val="FFFFFF" w:themeColor="background1"/>
                              <w:sz w:val="26"/>
                              <w:szCs w:val="26"/>
                            </w:rPr>
                            <w:t xml:space="preserve"> 2023</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93F9AB" id="_x0000_t202" coordsize="21600,21600" o:spt="202" path="m,l,21600r21600,l21600,xe">
              <v:stroke joinstyle="miter"/>
              <v:path gradientshapeok="t" o:connecttype="rect"/>
            </v:shapetype>
            <v:shape id="Text Box 2" o:spid="_x0000_s1026" type="#_x0000_t202" style="position:absolute;left:0;text-align:left;margin-left:457.5pt;margin-top:0;width:137.45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" fillcolor="#1f497d [3215]" stroked="f">
              <v:textbox inset="1.5mm,,1.5mm">
                <w:txbxContent>
                  <w:p w14:paraId="0241F37B" w14:textId="77777777" w:rsidR="00507FC7" w:rsidRPr="00A804E3" w:rsidRDefault="00507FC7" w:rsidP="00DF2FE2">
                    <w:pPr>
                      <w:autoSpaceDE w:val="0"/>
                      <w:autoSpaceDN w:val="0"/>
                      <w:adjustRightInd w:val="0"/>
                      <w:jc w:val="center"/>
                      <w:rPr>
                        <w:rFonts w:ascii="Arial Narrow" w:hAnsi="Arial Narrow" w:cs="Arial"/>
                        <w:b/>
                        <w:bCs/>
                        <w:color w:val="FFFFFF" w:themeColor="background1"/>
                        <w:sz w:val="8"/>
                        <w:szCs w:val="26"/>
                      </w:rPr>
                    </w:pPr>
                  </w:p>
                  <w:p w14:paraId="37267646" w14:textId="3C614162" w:rsidR="00507FC7" w:rsidRPr="000E5B84" w:rsidRDefault="00507FC7" w:rsidP="00556381">
                    <w:pPr>
                      <w:autoSpaceDE w:val="0"/>
                      <w:autoSpaceDN w:val="0"/>
                      <w:adjustRightInd w:val="0"/>
                      <w:spacing w:before="40"/>
                      <w:rPr>
                        <w:rFonts w:ascii="Arial Narrow" w:hAnsi="Arial Narrow" w:cs="Arial"/>
                        <w:b/>
                        <w:bCs/>
                        <w:color w:val="FFFFFF" w:themeColor="background1"/>
                        <w:sz w:val="26"/>
                        <w:szCs w:val="26"/>
                      </w:rPr>
                    </w:pPr>
                    <w:r w:rsidRPr="000E5B84">
                      <w:rPr>
                        <w:rFonts w:ascii="Arial Narrow" w:hAnsi="Arial Narrow" w:cs="Arial"/>
                        <w:b/>
                        <w:bCs/>
                        <w:color w:val="FFFFFF" w:themeColor="background1"/>
                        <w:sz w:val="26"/>
                        <w:szCs w:val="26"/>
                      </w:rPr>
                      <w:t xml:space="preserve">       </w:t>
                    </w:r>
                    <w:r>
                      <w:rPr>
                        <w:rFonts w:ascii="Arial Narrow" w:hAnsi="Arial Narrow" w:cs="Arial"/>
                        <w:b/>
                        <w:bCs/>
                        <w:color w:val="FFFFFF" w:themeColor="background1"/>
                        <w:sz w:val="26"/>
                        <w:szCs w:val="26"/>
                      </w:rPr>
                      <w:t>18</w:t>
                    </w:r>
                    <w:r w:rsidRPr="000E5B84">
                      <w:rPr>
                        <w:rFonts w:ascii="Arial Narrow" w:hAnsi="Arial Narrow" w:cs="Arial"/>
                        <w:b/>
                        <w:bCs/>
                        <w:color w:val="FFFFFF" w:themeColor="background1"/>
                        <w:sz w:val="26"/>
                        <w:szCs w:val="26"/>
                      </w:rPr>
                      <w:t xml:space="preserve"> </w:t>
                    </w:r>
                    <w:r>
                      <w:rPr>
                        <w:rFonts w:ascii="Arial Narrow" w:hAnsi="Arial Narrow" w:cs="Arial"/>
                        <w:b/>
                        <w:bCs/>
                        <w:color w:val="FFFFFF" w:themeColor="background1"/>
                        <w:sz w:val="26"/>
                        <w:szCs w:val="26"/>
                      </w:rPr>
                      <w:t>DICEMBRE</w:t>
                    </w:r>
                    <w:r w:rsidRPr="000E5B84">
                      <w:rPr>
                        <w:rFonts w:ascii="Arial Narrow" w:hAnsi="Arial Narrow" w:cs="Arial"/>
                        <w:b/>
                        <w:bCs/>
                        <w:color w:val="FFFFFF" w:themeColor="background1"/>
                        <w:sz w:val="26"/>
                        <w:szCs w:val="26"/>
                      </w:rPr>
                      <w:t xml:space="preserve"> 2023</w:t>
                    </w:r>
                  </w:p>
                </w:txbxContent>
              </v:textbox>
              <w10:wrap anchorx="page"/>
            </v:shape>
          </w:pict>
        </mc:Fallback>
      </mc:AlternateContent>
    </w:r>
    <w:r>
      <w:rPr>
        <w:noProof/>
      </w:rPr>
      <w:drawing>
        <wp:inline distT="0" distB="0" distL="0" distR="0" wp14:anchorId="501EE2C4" wp14:editId="4BEE670C">
          <wp:extent cx="7560000" cy="1645200"/>
          <wp:effectExtent l="0" t="0" r="0" b="635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estateReport_Tavola disegno 1.jpg"/>
                  <pic:cNvPicPr/>
                </pic:nvPicPr>
                <pic:blipFill>
                  <a:blip r:embed="rId1"/>
                  <a:stretch>
                    <a:fillRect/>
                  </a:stretch>
                </pic:blipFill>
                <pic:spPr>
                  <a:xfrm>
                    <a:off x="0" y="0"/>
                    <a:ext cx="7560000" cy="1645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23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323"/>
      <w:gridCol w:w="3016"/>
    </w:tblGrid>
    <w:tr w:rsidR="00507FC7" w:rsidRPr="00DD6CCE" w14:paraId="0D4E852F" w14:textId="77777777" w:rsidTr="00C312B1">
      <w:trPr>
        <w:trHeight w:hRule="exact" w:val="567"/>
      </w:trPr>
      <w:tc>
        <w:tcPr>
          <w:tcW w:w="9323" w:type="dxa"/>
          <w:shd w:val="clear" w:color="auto" w:fill="1F497D" w:themeFill="text2"/>
          <w:vAlign w:val="center"/>
        </w:tcPr>
        <w:p w14:paraId="59EBA187" w14:textId="4CCB933B" w:rsidR="00507FC7" w:rsidRPr="005D6783" w:rsidRDefault="00507FC7" w:rsidP="00C312B1">
          <w:pPr>
            <w:pStyle w:val="Intestazione"/>
            <w:spacing w:before="120"/>
            <w:ind w:left="567"/>
            <w:jc w:val="left"/>
            <w:rPr>
              <w:rFonts w:ascii="Arial Narrow" w:hAnsi="Arial Narrow"/>
              <w:color w:val="FFFFFF" w:themeColor="background1"/>
              <w:sz w:val="24"/>
            </w:rPr>
          </w:pPr>
          <w:r>
            <w:rPr>
              <w:rFonts w:ascii="Arial Narrow" w:hAnsi="Arial Narrow"/>
              <w:color w:val="FFFFFF" w:themeColor="background1"/>
              <w:sz w:val="24"/>
            </w:rPr>
            <w:t>MATRIMONI, UNIONI CIVILI, SEPARAZIONI E DIVORZI</w:t>
          </w:r>
        </w:p>
      </w:tc>
      <w:tc>
        <w:tcPr>
          <w:tcW w:w="3016" w:type="dxa"/>
          <w:shd w:val="clear" w:color="auto" w:fill="1F497D" w:themeFill="text2"/>
          <w:vAlign w:val="center"/>
        </w:tcPr>
        <w:p w14:paraId="3FA08D03" w14:textId="77777777" w:rsidR="00507FC7" w:rsidRPr="00DD6CCE" w:rsidRDefault="00507FC7" w:rsidP="00C312B1">
          <w:pPr>
            <w:pStyle w:val="Intestazione"/>
            <w:tabs>
              <w:tab w:val="left" w:pos="2160"/>
            </w:tabs>
            <w:ind w:left="284" w:hanging="100"/>
            <w:jc w:val="left"/>
            <w:rPr>
              <w:color w:val="FFFFFF" w:themeColor="background1"/>
            </w:rPr>
          </w:pPr>
          <w:r>
            <w:rPr>
              <w:noProof/>
              <w:color w:val="FFFFFF" w:themeColor="background1"/>
            </w:rPr>
            <w:drawing>
              <wp:anchor distT="0" distB="0" distL="114300" distR="114300" simplePos="0" relativeHeight="251664896" behindDoc="0" locked="0" layoutInCell="1" allowOverlap="1" wp14:anchorId="695E18F4" wp14:editId="59F02733">
                <wp:simplePos x="0" y="0"/>
                <wp:positionH relativeFrom="column">
                  <wp:posOffset>598805</wp:posOffset>
                </wp:positionH>
                <wp:positionV relativeFrom="paragraph">
                  <wp:posOffset>-1905</wp:posOffset>
                </wp:positionV>
                <wp:extent cx="695325" cy="198120"/>
                <wp:effectExtent l="0" t="0" r="9525" b="0"/>
                <wp:wrapNone/>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lWhite-01.png"/>
                        <pic:cNvPicPr/>
                      </pic:nvPicPr>
                      <pic:blipFill>
                        <a:blip r:embed="rId1"/>
                        <a:stretch>
                          <a:fillRect/>
                        </a:stretch>
                      </pic:blipFill>
                      <pic:spPr>
                        <a:xfrm>
                          <a:off x="0" y="0"/>
                          <a:ext cx="695325" cy="198120"/>
                        </a:xfrm>
                        <a:prstGeom prst="rect">
                          <a:avLst/>
                        </a:prstGeom>
                      </pic:spPr>
                    </pic:pic>
                  </a:graphicData>
                </a:graphic>
              </wp:anchor>
            </w:drawing>
          </w:r>
        </w:p>
      </w:tc>
    </w:tr>
  </w:tbl>
  <w:p w14:paraId="18580E6E" w14:textId="77777777" w:rsidR="00507FC7" w:rsidRPr="007D0BF5" w:rsidRDefault="00507FC7" w:rsidP="00B15087">
    <w:pPr>
      <w:pStyle w:val="Intestazione"/>
      <w:tabs>
        <w:tab w:val="clear" w:pos="4819"/>
        <w:tab w:val="clear" w:pos="9638"/>
        <w:tab w:val="left" w:pos="595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31383"/>
    <w:multiLevelType w:val="hybridMultilevel"/>
    <w:tmpl w:val="4A4A6C0C"/>
    <w:lvl w:ilvl="0" w:tplc="AD2873D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B538A7"/>
    <w:multiLevelType w:val="hybridMultilevel"/>
    <w:tmpl w:val="6BE010C2"/>
    <w:lvl w:ilvl="0" w:tplc="B596D914">
      <w:numFmt w:val="bullet"/>
      <w:lvlText w:val="-"/>
      <w:lvlJc w:val="left"/>
      <w:pPr>
        <w:ind w:left="819" w:hanging="360"/>
      </w:pPr>
      <w:rPr>
        <w:rFonts w:ascii="Georgia" w:eastAsia="Times New Roman" w:hAnsi="Georgia" w:cs="Arial" w:hint="default"/>
      </w:rPr>
    </w:lvl>
    <w:lvl w:ilvl="1" w:tplc="04100003" w:tentative="1">
      <w:start w:val="1"/>
      <w:numFmt w:val="bullet"/>
      <w:lvlText w:val="o"/>
      <w:lvlJc w:val="left"/>
      <w:pPr>
        <w:ind w:left="1539" w:hanging="360"/>
      </w:pPr>
      <w:rPr>
        <w:rFonts w:ascii="Courier New" w:hAnsi="Courier New" w:cs="Courier New" w:hint="default"/>
      </w:rPr>
    </w:lvl>
    <w:lvl w:ilvl="2" w:tplc="04100005" w:tentative="1">
      <w:start w:val="1"/>
      <w:numFmt w:val="bullet"/>
      <w:lvlText w:val=""/>
      <w:lvlJc w:val="left"/>
      <w:pPr>
        <w:ind w:left="2259" w:hanging="360"/>
      </w:pPr>
      <w:rPr>
        <w:rFonts w:ascii="Wingdings" w:hAnsi="Wingdings" w:hint="default"/>
      </w:rPr>
    </w:lvl>
    <w:lvl w:ilvl="3" w:tplc="04100001" w:tentative="1">
      <w:start w:val="1"/>
      <w:numFmt w:val="bullet"/>
      <w:lvlText w:val=""/>
      <w:lvlJc w:val="left"/>
      <w:pPr>
        <w:ind w:left="2979" w:hanging="360"/>
      </w:pPr>
      <w:rPr>
        <w:rFonts w:ascii="Symbol" w:hAnsi="Symbol" w:hint="default"/>
      </w:rPr>
    </w:lvl>
    <w:lvl w:ilvl="4" w:tplc="04100003" w:tentative="1">
      <w:start w:val="1"/>
      <w:numFmt w:val="bullet"/>
      <w:lvlText w:val="o"/>
      <w:lvlJc w:val="left"/>
      <w:pPr>
        <w:ind w:left="3699" w:hanging="360"/>
      </w:pPr>
      <w:rPr>
        <w:rFonts w:ascii="Courier New" w:hAnsi="Courier New" w:cs="Courier New" w:hint="default"/>
      </w:rPr>
    </w:lvl>
    <w:lvl w:ilvl="5" w:tplc="04100005" w:tentative="1">
      <w:start w:val="1"/>
      <w:numFmt w:val="bullet"/>
      <w:lvlText w:val=""/>
      <w:lvlJc w:val="left"/>
      <w:pPr>
        <w:ind w:left="4419" w:hanging="360"/>
      </w:pPr>
      <w:rPr>
        <w:rFonts w:ascii="Wingdings" w:hAnsi="Wingdings" w:hint="default"/>
      </w:rPr>
    </w:lvl>
    <w:lvl w:ilvl="6" w:tplc="04100001" w:tentative="1">
      <w:start w:val="1"/>
      <w:numFmt w:val="bullet"/>
      <w:lvlText w:val=""/>
      <w:lvlJc w:val="left"/>
      <w:pPr>
        <w:ind w:left="5139" w:hanging="360"/>
      </w:pPr>
      <w:rPr>
        <w:rFonts w:ascii="Symbol" w:hAnsi="Symbol" w:hint="default"/>
      </w:rPr>
    </w:lvl>
    <w:lvl w:ilvl="7" w:tplc="04100003" w:tentative="1">
      <w:start w:val="1"/>
      <w:numFmt w:val="bullet"/>
      <w:lvlText w:val="o"/>
      <w:lvlJc w:val="left"/>
      <w:pPr>
        <w:ind w:left="5859" w:hanging="360"/>
      </w:pPr>
      <w:rPr>
        <w:rFonts w:ascii="Courier New" w:hAnsi="Courier New" w:cs="Courier New" w:hint="default"/>
      </w:rPr>
    </w:lvl>
    <w:lvl w:ilvl="8" w:tplc="04100005" w:tentative="1">
      <w:start w:val="1"/>
      <w:numFmt w:val="bullet"/>
      <w:lvlText w:val=""/>
      <w:lvlJc w:val="left"/>
      <w:pPr>
        <w:ind w:left="6579" w:hanging="360"/>
      </w:pPr>
      <w:rPr>
        <w:rFonts w:ascii="Wingdings" w:hAnsi="Wingdings" w:hint="default"/>
      </w:rPr>
    </w:lvl>
  </w:abstractNum>
  <w:abstractNum w:abstractNumId="2" w15:restartNumberingAfterBreak="0">
    <w:nsid w:val="27437B23"/>
    <w:multiLevelType w:val="hybridMultilevel"/>
    <w:tmpl w:val="A510E250"/>
    <w:lvl w:ilvl="0" w:tplc="13FADF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01217C"/>
    <w:multiLevelType w:val="hybridMultilevel"/>
    <w:tmpl w:val="4B3EFEC4"/>
    <w:lvl w:ilvl="0" w:tplc="05D2A2E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FD55255"/>
    <w:multiLevelType w:val="hybridMultilevel"/>
    <w:tmpl w:val="E9F29EC4"/>
    <w:lvl w:ilvl="0" w:tplc="6614960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DFC5A30"/>
    <w:multiLevelType w:val="hybridMultilevel"/>
    <w:tmpl w:val="58E49CD6"/>
    <w:lvl w:ilvl="0" w:tplc="C644C05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EA71BC5"/>
    <w:multiLevelType w:val="hybridMultilevel"/>
    <w:tmpl w:val="FBA6C2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it-IT"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4FF"/>
    <w:rsid w:val="0000053D"/>
    <w:rsid w:val="00000DE6"/>
    <w:rsid w:val="00001763"/>
    <w:rsid w:val="000020C7"/>
    <w:rsid w:val="00002177"/>
    <w:rsid w:val="00002AED"/>
    <w:rsid w:val="0000396F"/>
    <w:rsid w:val="000042EB"/>
    <w:rsid w:val="0000580A"/>
    <w:rsid w:val="00006D10"/>
    <w:rsid w:val="00007066"/>
    <w:rsid w:val="0000734C"/>
    <w:rsid w:val="000075FC"/>
    <w:rsid w:val="0000784B"/>
    <w:rsid w:val="00007F49"/>
    <w:rsid w:val="00010170"/>
    <w:rsid w:val="00010BD3"/>
    <w:rsid w:val="00011037"/>
    <w:rsid w:val="00011235"/>
    <w:rsid w:val="00011CD9"/>
    <w:rsid w:val="00011FDA"/>
    <w:rsid w:val="0001203B"/>
    <w:rsid w:val="000124DE"/>
    <w:rsid w:val="00012616"/>
    <w:rsid w:val="0001291E"/>
    <w:rsid w:val="00013E5B"/>
    <w:rsid w:val="00014D02"/>
    <w:rsid w:val="00014F90"/>
    <w:rsid w:val="0001544F"/>
    <w:rsid w:val="000156A7"/>
    <w:rsid w:val="00015E66"/>
    <w:rsid w:val="00016174"/>
    <w:rsid w:val="00016F4D"/>
    <w:rsid w:val="0001738B"/>
    <w:rsid w:val="000176EC"/>
    <w:rsid w:val="00020945"/>
    <w:rsid w:val="000213D6"/>
    <w:rsid w:val="00022348"/>
    <w:rsid w:val="0002235C"/>
    <w:rsid w:val="000238F0"/>
    <w:rsid w:val="00023B4F"/>
    <w:rsid w:val="00023B7E"/>
    <w:rsid w:val="0002428F"/>
    <w:rsid w:val="00024EB0"/>
    <w:rsid w:val="0002505D"/>
    <w:rsid w:val="00025711"/>
    <w:rsid w:val="00026B2F"/>
    <w:rsid w:val="00030D17"/>
    <w:rsid w:val="00031115"/>
    <w:rsid w:val="0003181B"/>
    <w:rsid w:val="000318A8"/>
    <w:rsid w:val="00031A40"/>
    <w:rsid w:val="0003264F"/>
    <w:rsid w:val="0003298F"/>
    <w:rsid w:val="00033165"/>
    <w:rsid w:val="00033568"/>
    <w:rsid w:val="00033F2B"/>
    <w:rsid w:val="000343A2"/>
    <w:rsid w:val="00035516"/>
    <w:rsid w:val="00036154"/>
    <w:rsid w:val="000401BA"/>
    <w:rsid w:val="0004131D"/>
    <w:rsid w:val="00041599"/>
    <w:rsid w:val="00041838"/>
    <w:rsid w:val="00041DC5"/>
    <w:rsid w:val="000425AA"/>
    <w:rsid w:val="000426E7"/>
    <w:rsid w:val="00043696"/>
    <w:rsid w:val="000444BF"/>
    <w:rsid w:val="00044BA7"/>
    <w:rsid w:val="00044BFF"/>
    <w:rsid w:val="000450A5"/>
    <w:rsid w:val="0004526F"/>
    <w:rsid w:val="00045472"/>
    <w:rsid w:val="00045864"/>
    <w:rsid w:val="000463B5"/>
    <w:rsid w:val="000467F2"/>
    <w:rsid w:val="00047479"/>
    <w:rsid w:val="0004769F"/>
    <w:rsid w:val="000476DC"/>
    <w:rsid w:val="00047A1F"/>
    <w:rsid w:val="000507CF"/>
    <w:rsid w:val="00050D69"/>
    <w:rsid w:val="0005225C"/>
    <w:rsid w:val="0005356B"/>
    <w:rsid w:val="000541C4"/>
    <w:rsid w:val="000541EC"/>
    <w:rsid w:val="0005451A"/>
    <w:rsid w:val="00055B88"/>
    <w:rsid w:val="00057EFB"/>
    <w:rsid w:val="00060388"/>
    <w:rsid w:val="00060683"/>
    <w:rsid w:val="000618C1"/>
    <w:rsid w:val="00061938"/>
    <w:rsid w:val="00062A73"/>
    <w:rsid w:val="00062C65"/>
    <w:rsid w:val="000637D3"/>
    <w:rsid w:val="00063871"/>
    <w:rsid w:val="00063FE1"/>
    <w:rsid w:val="00064102"/>
    <w:rsid w:val="000646C1"/>
    <w:rsid w:val="00064F15"/>
    <w:rsid w:val="000665DC"/>
    <w:rsid w:val="00066F5C"/>
    <w:rsid w:val="00067708"/>
    <w:rsid w:val="000679B2"/>
    <w:rsid w:val="0007093C"/>
    <w:rsid w:val="00070FF7"/>
    <w:rsid w:val="00071126"/>
    <w:rsid w:val="00071622"/>
    <w:rsid w:val="000717CD"/>
    <w:rsid w:val="0007183B"/>
    <w:rsid w:val="000718B8"/>
    <w:rsid w:val="00071F99"/>
    <w:rsid w:val="00071FD9"/>
    <w:rsid w:val="000722A1"/>
    <w:rsid w:val="00072404"/>
    <w:rsid w:val="00072577"/>
    <w:rsid w:val="00072EE8"/>
    <w:rsid w:val="000730AF"/>
    <w:rsid w:val="00073381"/>
    <w:rsid w:val="0007343B"/>
    <w:rsid w:val="0007346F"/>
    <w:rsid w:val="0007364E"/>
    <w:rsid w:val="000737C5"/>
    <w:rsid w:val="00074F21"/>
    <w:rsid w:val="00075049"/>
    <w:rsid w:val="0007524D"/>
    <w:rsid w:val="00076B04"/>
    <w:rsid w:val="00077332"/>
    <w:rsid w:val="0007749C"/>
    <w:rsid w:val="00077BBA"/>
    <w:rsid w:val="00080193"/>
    <w:rsid w:val="000808AF"/>
    <w:rsid w:val="000810FD"/>
    <w:rsid w:val="00081681"/>
    <w:rsid w:val="0008211B"/>
    <w:rsid w:val="000824CF"/>
    <w:rsid w:val="00082F25"/>
    <w:rsid w:val="00082F91"/>
    <w:rsid w:val="00083EA8"/>
    <w:rsid w:val="0008427D"/>
    <w:rsid w:val="000843B1"/>
    <w:rsid w:val="0008459E"/>
    <w:rsid w:val="0008573D"/>
    <w:rsid w:val="000858BB"/>
    <w:rsid w:val="00085D39"/>
    <w:rsid w:val="000860AB"/>
    <w:rsid w:val="00086337"/>
    <w:rsid w:val="0008689A"/>
    <w:rsid w:val="0008701E"/>
    <w:rsid w:val="00087F2B"/>
    <w:rsid w:val="00090C82"/>
    <w:rsid w:val="00091774"/>
    <w:rsid w:val="0009237A"/>
    <w:rsid w:val="000924BC"/>
    <w:rsid w:val="000934B8"/>
    <w:rsid w:val="00093E25"/>
    <w:rsid w:val="000940FB"/>
    <w:rsid w:val="0009446F"/>
    <w:rsid w:val="0009519B"/>
    <w:rsid w:val="00095707"/>
    <w:rsid w:val="00096098"/>
    <w:rsid w:val="000962ED"/>
    <w:rsid w:val="00096A59"/>
    <w:rsid w:val="00096BB3"/>
    <w:rsid w:val="00096EB7"/>
    <w:rsid w:val="00097254"/>
    <w:rsid w:val="00097291"/>
    <w:rsid w:val="000A0304"/>
    <w:rsid w:val="000A1A44"/>
    <w:rsid w:val="000A1B97"/>
    <w:rsid w:val="000A2B36"/>
    <w:rsid w:val="000A2CE3"/>
    <w:rsid w:val="000A3079"/>
    <w:rsid w:val="000A35DD"/>
    <w:rsid w:val="000A3C1B"/>
    <w:rsid w:val="000A3C1F"/>
    <w:rsid w:val="000A3C52"/>
    <w:rsid w:val="000A3DA6"/>
    <w:rsid w:val="000A3F28"/>
    <w:rsid w:val="000A455F"/>
    <w:rsid w:val="000A4F3E"/>
    <w:rsid w:val="000A5962"/>
    <w:rsid w:val="000A6EC8"/>
    <w:rsid w:val="000A7447"/>
    <w:rsid w:val="000B0188"/>
    <w:rsid w:val="000B2771"/>
    <w:rsid w:val="000B33BB"/>
    <w:rsid w:val="000B370A"/>
    <w:rsid w:val="000B3860"/>
    <w:rsid w:val="000B422C"/>
    <w:rsid w:val="000B4257"/>
    <w:rsid w:val="000B4826"/>
    <w:rsid w:val="000B51F7"/>
    <w:rsid w:val="000B54EA"/>
    <w:rsid w:val="000B5CF0"/>
    <w:rsid w:val="000B5F30"/>
    <w:rsid w:val="000B5F37"/>
    <w:rsid w:val="000B6060"/>
    <w:rsid w:val="000B63DB"/>
    <w:rsid w:val="000B68CB"/>
    <w:rsid w:val="000B6E6E"/>
    <w:rsid w:val="000B78AF"/>
    <w:rsid w:val="000B7A50"/>
    <w:rsid w:val="000B7E69"/>
    <w:rsid w:val="000C0E96"/>
    <w:rsid w:val="000C1D28"/>
    <w:rsid w:val="000C23C8"/>
    <w:rsid w:val="000C24A9"/>
    <w:rsid w:val="000C2AF7"/>
    <w:rsid w:val="000C2C72"/>
    <w:rsid w:val="000C3ACA"/>
    <w:rsid w:val="000C3D3C"/>
    <w:rsid w:val="000C3F2E"/>
    <w:rsid w:val="000C4223"/>
    <w:rsid w:val="000C4707"/>
    <w:rsid w:val="000C5D95"/>
    <w:rsid w:val="000C5DC0"/>
    <w:rsid w:val="000C62EC"/>
    <w:rsid w:val="000C683D"/>
    <w:rsid w:val="000C6D3F"/>
    <w:rsid w:val="000C7AF6"/>
    <w:rsid w:val="000C7CB9"/>
    <w:rsid w:val="000C7E7F"/>
    <w:rsid w:val="000D01FA"/>
    <w:rsid w:val="000D058E"/>
    <w:rsid w:val="000D1C69"/>
    <w:rsid w:val="000D1FF1"/>
    <w:rsid w:val="000D20C3"/>
    <w:rsid w:val="000D2F5B"/>
    <w:rsid w:val="000D31ED"/>
    <w:rsid w:val="000D3343"/>
    <w:rsid w:val="000D3939"/>
    <w:rsid w:val="000D3BE3"/>
    <w:rsid w:val="000D4700"/>
    <w:rsid w:val="000D48E6"/>
    <w:rsid w:val="000D49B6"/>
    <w:rsid w:val="000D51AD"/>
    <w:rsid w:val="000D5E76"/>
    <w:rsid w:val="000D61A6"/>
    <w:rsid w:val="000D69AC"/>
    <w:rsid w:val="000D7092"/>
    <w:rsid w:val="000D758D"/>
    <w:rsid w:val="000E01E0"/>
    <w:rsid w:val="000E0F08"/>
    <w:rsid w:val="000E13BE"/>
    <w:rsid w:val="000E1A70"/>
    <w:rsid w:val="000E2017"/>
    <w:rsid w:val="000E2097"/>
    <w:rsid w:val="000E28C7"/>
    <w:rsid w:val="000E2C69"/>
    <w:rsid w:val="000E2E33"/>
    <w:rsid w:val="000E3177"/>
    <w:rsid w:val="000E3182"/>
    <w:rsid w:val="000E36FF"/>
    <w:rsid w:val="000E47B2"/>
    <w:rsid w:val="000E4C5D"/>
    <w:rsid w:val="000E5511"/>
    <w:rsid w:val="000E5B84"/>
    <w:rsid w:val="000E6E1E"/>
    <w:rsid w:val="000E7DFF"/>
    <w:rsid w:val="000F080C"/>
    <w:rsid w:val="000F0834"/>
    <w:rsid w:val="000F084D"/>
    <w:rsid w:val="000F0B72"/>
    <w:rsid w:val="000F0DE8"/>
    <w:rsid w:val="000F147E"/>
    <w:rsid w:val="000F2103"/>
    <w:rsid w:val="000F3134"/>
    <w:rsid w:val="000F3A42"/>
    <w:rsid w:val="000F3EE9"/>
    <w:rsid w:val="000F440B"/>
    <w:rsid w:val="000F524E"/>
    <w:rsid w:val="000F56AC"/>
    <w:rsid w:val="000F56B4"/>
    <w:rsid w:val="000F5E14"/>
    <w:rsid w:val="000F5F7E"/>
    <w:rsid w:val="000F61BC"/>
    <w:rsid w:val="000F63BB"/>
    <w:rsid w:val="000F6BD7"/>
    <w:rsid w:val="000F6D28"/>
    <w:rsid w:val="000F7212"/>
    <w:rsid w:val="000F73C6"/>
    <w:rsid w:val="000F7425"/>
    <w:rsid w:val="000F7E7C"/>
    <w:rsid w:val="00101767"/>
    <w:rsid w:val="00101A70"/>
    <w:rsid w:val="00101EBD"/>
    <w:rsid w:val="00102064"/>
    <w:rsid w:val="00102103"/>
    <w:rsid w:val="00102185"/>
    <w:rsid w:val="00102284"/>
    <w:rsid w:val="001024E9"/>
    <w:rsid w:val="001035E3"/>
    <w:rsid w:val="001038B2"/>
    <w:rsid w:val="00104248"/>
    <w:rsid w:val="001042B2"/>
    <w:rsid w:val="00104474"/>
    <w:rsid w:val="00104553"/>
    <w:rsid w:val="00104E17"/>
    <w:rsid w:val="001051FB"/>
    <w:rsid w:val="0010528F"/>
    <w:rsid w:val="00105689"/>
    <w:rsid w:val="00105931"/>
    <w:rsid w:val="001059FA"/>
    <w:rsid w:val="001078F4"/>
    <w:rsid w:val="001100C4"/>
    <w:rsid w:val="00111A00"/>
    <w:rsid w:val="00111A23"/>
    <w:rsid w:val="00111DB1"/>
    <w:rsid w:val="00112B06"/>
    <w:rsid w:val="00112D4E"/>
    <w:rsid w:val="00112DB1"/>
    <w:rsid w:val="00113587"/>
    <w:rsid w:val="00114FA8"/>
    <w:rsid w:val="00115A6C"/>
    <w:rsid w:val="00115DEF"/>
    <w:rsid w:val="00117291"/>
    <w:rsid w:val="001178D5"/>
    <w:rsid w:val="00117C9A"/>
    <w:rsid w:val="00117E13"/>
    <w:rsid w:val="00117E8C"/>
    <w:rsid w:val="00117FE2"/>
    <w:rsid w:val="0012000D"/>
    <w:rsid w:val="001215BC"/>
    <w:rsid w:val="001216F3"/>
    <w:rsid w:val="00122603"/>
    <w:rsid w:val="0012282C"/>
    <w:rsid w:val="00122B4C"/>
    <w:rsid w:val="00123033"/>
    <w:rsid w:val="0012394C"/>
    <w:rsid w:val="00123CAE"/>
    <w:rsid w:val="00123E17"/>
    <w:rsid w:val="00124010"/>
    <w:rsid w:val="00124061"/>
    <w:rsid w:val="001257BA"/>
    <w:rsid w:val="001266B6"/>
    <w:rsid w:val="00126FF0"/>
    <w:rsid w:val="001271E8"/>
    <w:rsid w:val="00127809"/>
    <w:rsid w:val="00127A7C"/>
    <w:rsid w:val="00127BDB"/>
    <w:rsid w:val="00130872"/>
    <w:rsid w:val="00130A8B"/>
    <w:rsid w:val="00130D82"/>
    <w:rsid w:val="00131166"/>
    <w:rsid w:val="00131B50"/>
    <w:rsid w:val="00132230"/>
    <w:rsid w:val="00132E94"/>
    <w:rsid w:val="0013321F"/>
    <w:rsid w:val="00133310"/>
    <w:rsid w:val="00133335"/>
    <w:rsid w:val="00133ACC"/>
    <w:rsid w:val="001348D8"/>
    <w:rsid w:val="001349F8"/>
    <w:rsid w:val="00134BE2"/>
    <w:rsid w:val="001350C3"/>
    <w:rsid w:val="00135378"/>
    <w:rsid w:val="00135424"/>
    <w:rsid w:val="001359D5"/>
    <w:rsid w:val="00135B50"/>
    <w:rsid w:val="00136280"/>
    <w:rsid w:val="001365DB"/>
    <w:rsid w:val="001365F6"/>
    <w:rsid w:val="00136A09"/>
    <w:rsid w:val="001372AC"/>
    <w:rsid w:val="00137C1A"/>
    <w:rsid w:val="00140019"/>
    <w:rsid w:val="00140DFF"/>
    <w:rsid w:val="00141056"/>
    <w:rsid w:val="0014327D"/>
    <w:rsid w:val="0014340B"/>
    <w:rsid w:val="00143829"/>
    <w:rsid w:val="001471E6"/>
    <w:rsid w:val="00147A51"/>
    <w:rsid w:val="001501AC"/>
    <w:rsid w:val="001512E9"/>
    <w:rsid w:val="001517D8"/>
    <w:rsid w:val="00151F08"/>
    <w:rsid w:val="001523E8"/>
    <w:rsid w:val="00152C53"/>
    <w:rsid w:val="00152EFE"/>
    <w:rsid w:val="00153311"/>
    <w:rsid w:val="001537A3"/>
    <w:rsid w:val="00153A99"/>
    <w:rsid w:val="00154931"/>
    <w:rsid w:val="00154F1A"/>
    <w:rsid w:val="00155789"/>
    <w:rsid w:val="00155C50"/>
    <w:rsid w:val="00155C7A"/>
    <w:rsid w:val="00155D83"/>
    <w:rsid w:val="00155EE7"/>
    <w:rsid w:val="001567B2"/>
    <w:rsid w:val="00156870"/>
    <w:rsid w:val="001569C5"/>
    <w:rsid w:val="00157219"/>
    <w:rsid w:val="00157F5E"/>
    <w:rsid w:val="00160774"/>
    <w:rsid w:val="001608CB"/>
    <w:rsid w:val="00160C8A"/>
    <w:rsid w:val="001614C5"/>
    <w:rsid w:val="00161868"/>
    <w:rsid w:val="00161A02"/>
    <w:rsid w:val="00161D0A"/>
    <w:rsid w:val="00162A21"/>
    <w:rsid w:val="00163045"/>
    <w:rsid w:val="0016359C"/>
    <w:rsid w:val="00163CE2"/>
    <w:rsid w:val="001642C8"/>
    <w:rsid w:val="00164770"/>
    <w:rsid w:val="00164DD7"/>
    <w:rsid w:val="0016592A"/>
    <w:rsid w:val="001661A6"/>
    <w:rsid w:val="001661BE"/>
    <w:rsid w:val="001661C4"/>
    <w:rsid w:val="001663CB"/>
    <w:rsid w:val="00166C29"/>
    <w:rsid w:val="00167170"/>
    <w:rsid w:val="00170AC8"/>
    <w:rsid w:val="00171303"/>
    <w:rsid w:val="00171977"/>
    <w:rsid w:val="00171A8E"/>
    <w:rsid w:val="001729A0"/>
    <w:rsid w:val="00172E71"/>
    <w:rsid w:val="00173008"/>
    <w:rsid w:val="00174FE1"/>
    <w:rsid w:val="001750C1"/>
    <w:rsid w:val="001754E7"/>
    <w:rsid w:val="001761CF"/>
    <w:rsid w:val="00176D20"/>
    <w:rsid w:val="0018019C"/>
    <w:rsid w:val="00180E98"/>
    <w:rsid w:val="0018100C"/>
    <w:rsid w:val="00181074"/>
    <w:rsid w:val="00181263"/>
    <w:rsid w:val="001815CC"/>
    <w:rsid w:val="0018166E"/>
    <w:rsid w:val="00181C60"/>
    <w:rsid w:val="001826FE"/>
    <w:rsid w:val="0018275B"/>
    <w:rsid w:val="00182894"/>
    <w:rsid w:val="00184084"/>
    <w:rsid w:val="00184584"/>
    <w:rsid w:val="00185665"/>
    <w:rsid w:val="00186EAB"/>
    <w:rsid w:val="00187341"/>
    <w:rsid w:val="0018783C"/>
    <w:rsid w:val="00190006"/>
    <w:rsid w:val="00190158"/>
    <w:rsid w:val="00191477"/>
    <w:rsid w:val="001917F1"/>
    <w:rsid w:val="00191EA1"/>
    <w:rsid w:val="001925E3"/>
    <w:rsid w:val="001928F4"/>
    <w:rsid w:val="00193A8D"/>
    <w:rsid w:val="00193C26"/>
    <w:rsid w:val="00194F41"/>
    <w:rsid w:val="00195299"/>
    <w:rsid w:val="001953F8"/>
    <w:rsid w:val="00195481"/>
    <w:rsid w:val="001958B2"/>
    <w:rsid w:val="0019616E"/>
    <w:rsid w:val="001968E3"/>
    <w:rsid w:val="0019745C"/>
    <w:rsid w:val="00197520"/>
    <w:rsid w:val="0019759E"/>
    <w:rsid w:val="00197D76"/>
    <w:rsid w:val="001A0217"/>
    <w:rsid w:val="001A10C1"/>
    <w:rsid w:val="001A1346"/>
    <w:rsid w:val="001A29C8"/>
    <w:rsid w:val="001A3583"/>
    <w:rsid w:val="001A4C6D"/>
    <w:rsid w:val="001A4D93"/>
    <w:rsid w:val="001A560C"/>
    <w:rsid w:val="001A5E58"/>
    <w:rsid w:val="001A611B"/>
    <w:rsid w:val="001A6284"/>
    <w:rsid w:val="001A62B0"/>
    <w:rsid w:val="001A62B5"/>
    <w:rsid w:val="001A763F"/>
    <w:rsid w:val="001A7CAF"/>
    <w:rsid w:val="001A7F1A"/>
    <w:rsid w:val="001B10C3"/>
    <w:rsid w:val="001B1B94"/>
    <w:rsid w:val="001B1DB1"/>
    <w:rsid w:val="001B3C7A"/>
    <w:rsid w:val="001B3D84"/>
    <w:rsid w:val="001B41C2"/>
    <w:rsid w:val="001B4D79"/>
    <w:rsid w:val="001B5391"/>
    <w:rsid w:val="001B5737"/>
    <w:rsid w:val="001B64E1"/>
    <w:rsid w:val="001B743D"/>
    <w:rsid w:val="001B745D"/>
    <w:rsid w:val="001B7C80"/>
    <w:rsid w:val="001C0092"/>
    <w:rsid w:val="001C03DA"/>
    <w:rsid w:val="001C07E6"/>
    <w:rsid w:val="001C0BF3"/>
    <w:rsid w:val="001C1B3A"/>
    <w:rsid w:val="001C333E"/>
    <w:rsid w:val="001C3445"/>
    <w:rsid w:val="001C3851"/>
    <w:rsid w:val="001C3E12"/>
    <w:rsid w:val="001C3FFE"/>
    <w:rsid w:val="001C4485"/>
    <w:rsid w:val="001C61CD"/>
    <w:rsid w:val="001C6222"/>
    <w:rsid w:val="001C635F"/>
    <w:rsid w:val="001C661F"/>
    <w:rsid w:val="001C6D75"/>
    <w:rsid w:val="001C7477"/>
    <w:rsid w:val="001C77B0"/>
    <w:rsid w:val="001D0137"/>
    <w:rsid w:val="001D0542"/>
    <w:rsid w:val="001D0850"/>
    <w:rsid w:val="001D0E08"/>
    <w:rsid w:val="001D0EB7"/>
    <w:rsid w:val="001D217B"/>
    <w:rsid w:val="001D32D2"/>
    <w:rsid w:val="001D3592"/>
    <w:rsid w:val="001D3636"/>
    <w:rsid w:val="001D3DA7"/>
    <w:rsid w:val="001D3FC5"/>
    <w:rsid w:val="001D429B"/>
    <w:rsid w:val="001D46FC"/>
    <w:rsid w:val="001D475E"/>
    <w:rsid w:val="001D5186"/>
    <w:rsid w:val="001D5578"/>
    <w:rsid w:val="001D6301"/>
    <w:rsid w:val="001D64EE"/>
    <w:rsid w:val="001D6BC4"/>
    <w:rsid w:val="001D6FBA"/>
    <w:rsid w:val="001D7102"/>
    <w:rsid w:val="001D75A9"/>
    <w:rsid w:val="001D7A31"/>
    <w:rsid w:val="001D7A7B"/>
    <w:rsid w:val="001D7ED4"/>
    <w:rsid w:val="001E00BC"/>
    <w:rsid w:val="001E0825"/>
    <w:rsid w:val="001E1028"/>
    <w:rsid w:val="001E1BA2"/>
    <w:rsid w:val="001E2FBC"/>
    <w:rsid w:val="001E42F3"/>
    <w:rsid w:val="001E5FDD"/>
    <w:rsid w:val="001E62A5"/>
    <w:rsid w:val="001E6D2C"/>
    <w:rsid w:val="001E7001"/>
    <w:rsid w:val="001E7641"/>
    <w:rsid w:val="001E7678"/>
    <w:rsid w:val="001E7CC8"/>
    <w:rsid w:val="001E7FA8"/>
    <w:rsid w:val="001F0C12"/>
    <w:rsid w:val="001F1697"/>
    <w:rsid w:val="001F2DCA"/>
    <w:rsid w:val="001F486C"/>
    <w:rsid w:val="001F50BC"/>
    <w:rsid w:val="001F58C7"/>
    <w:rsid w:val="001F5D7B"/>
    <w:rsid w:val="001F609C"/>
    <w:rsid w:val="001F61BA"/>
    <w:rsid w:val="001F6677"/>
    <w:rsid w:val="001F697F"/>
    <w:rsid w:val="001F726A"/>
    <w:rsid w:val="002000AC"/>
    <w:rsid w:val="002005F1"/>
    <w:rsid w:val="00200669"/>
    <w:rsid w:val="0020087D"/>
    <w:rsid w:val="00200DCB"/>
    <w:rsid w:val="00200F17"/>
    <w:rsid w:val="00201C4C"/>
    <w:rsid w:val="002027BD"/>
    <w:rsid w:val="00202C51"/>
    <w:rsid w:val="00202D5E"/>
    <w:rsid w:val="00202E62"/>
    <w:rsid w:val="002031E5"/>
    <w:rsid w:val="00203C9B"/>
    <w:rsid w:val="00203F9E"/>
    <w:rsid w:val="002045DB"/>
    <w:rsid w:val="00204CF6"/>
    <w:rsid w:val="0020556C"/>
    <w:rsid w:val="002056F7"/>
    <w:rsid w:val="00205ADF"/>
    <w:rsid w:val="00205D0A"/>
    <w:rsid w:val="00206DEE"/>
    <w:rsid w:val="002072B2"/>
    <w:rsid w:val="0020776A"/>
    <w:rsid w:val="0020795A"/>
    <w:rsid w:val="002103C3"/>
    <w:rsid w:val="00210644"/>
    <w:rsid w:val="00210720"/>
    <w:rsid w:val="00210C42"/>
    <w:rsid w:val="00210D5E"/>
    <w:rsid w:val="00210DA8"/>
    <w:rsid w:val="00210DE0"/>
    <w:rsid w:val="0021197E"/>
    <w:rsid w:val="00212529"/>
    <w:rsid w:val="0021285C"/>
    <w:rsid w:val="00212F11"/>
    <w:rsid w:val="002137BA"/>
    <w:rsid w:val="00214722"/>
    <w:rsid w:val="00214B49"/>
    <w:rsid w:val="002158F5"/>
    <w:rsid w:val="00215FD0"/>
    <w:rsid w:val="0021672D"/>
    <w:rsid w:val="00216A11"/>
    <w:rsid w:val="00217B0C"/>
    <w:rsid w:val="00220D5E"/>
    <w:rsid w:val="00220F99"/>
    <w:rsid w:val="00221079"/>
    <w:rsid w:val="002222D4"/>
    <w:rsid w:val="002228EF"/>
    <w:rsid w:val="00222966"/>
    <w:rsid w:val="002236B4"/>
    <w:rsid w:val="002245DD"/>
    <w:rsid w:val="00224936"/>
    <w:rsid w:val="00225A82"/>
    <w:rsid w:val="00225B32"/>
    <w:rsid w:val="00226116"/>
    <w:rsid w:val="002261D9"/>
    <w:rsid w:val="00226676"/>
    <w:rsid w:val="002268E7"/>
    <w:rsid w:val="00226C04"/>
    <w:rsid w:val="00227170"/>
    <w:rsid w:val="00227318"/>
    <w:rsid w:val="00230239"/>
    <w:rsid w:val="002304A0"/>
    <w:rsid w:val="00230982"/>
    <w:rsid w:val="00230ADC"/>
    <w:rsid w:val="00230AF5"/>
    <w:rsid w:val="00231001"/>
    <w:rsid w:val="00231BC5"/>
    <w:rsid w:val="002323B9"/>
    <w:rsid w:val="002330DF"/>
    <w:rsid w:val="00233163"/>
    <w:rsid w:val="002337A9"/>
    <w:rsid w:val="002357AA"/>
    <w:rsid w:val="00235A69"/>
    <w:rsid w:val="00236BDB"/>
    <w:rsid w:val="00237297"/>
    <w:rsid w:val="002374DD"/>
    <w:rsid w:val="002402C9"/>
    <w:rsid w:val="00240860"/>
    <w:rsid w:val="00240909"/>
    <w:rsid w:val="00241A88"/>
    <w:rsid w:val="00241DEE"/>
    <w:rsid w:val="002420D3"/>
    <w:rsid w:val="00242146"/>
    <w:rsid w:val="0024237E"/>
    <w:rsid w:val="00242512"/>
    <w:rsid w:val="002425DD"/>
    <w:rsid w:val="002427A6"/>
    <w:rsid w:val="0024284A"/>
    <w:rsid w:val="00243905"/>
    <w:rsid w:val="00243F15"/>
    <w:rsid w:val="00244329"/>
    <w:rsid w:val="00246065"/>
    <w:rsid w:val="00246619"/>
    <w:rsid w:val="0024697E"/>
    <w:rsid w:val="00246D7E"/>
    <w:rsid w:val="0024708F"/>
    <w:rsid w:val="00250448"/>
    <w:rsid w:val="00250570"/>
    <w:rsid w:val="00250A8D"/>
    <w:rsid w:val="002518F5"/>
    <w:rsid w:val="00251CA6"/>
    <w:rsid w:val="002521EC"/>
    <w:rsid w:val="002524BD"/>
    <w:rsid w:val="00252651"/>
    <w:rsid w:val="0025287B"/>
    <w:rsid w:val="00253145"/>
    <w:rsid w:val="002533A7"/>
    <w:rsid w:val="00253644"/>
    <w:rsid w:val="002542DD"/>
    <w:rsid w:val="00254523"/>
    <w:rsid w:val="002546A6"/>
    <w:rsid w:val="00254851"/>
    <w:rsid w:val="002548C3"/>
    <w:rsid w:val="002551B8"/>
    <w:rsid w:val="0025544D"/>
    <w:rsid w:val="00255A74"/>
    <w:rsid w:val="00255D3D"/>
    <w:rsid w:val="002568ED"/>
    <w:rsid w:val="00256F00"/>
    <w:rsid w:val="002573E5"/>
    <w:rsid w:val="0026024B"/>
    <w:rsid w:val="00260479"/>
    <w:rsid w:val="002604A1"/>
    <w:rsid w:val="00260940"/>
    <w:rsid w:val="00260A0C"/>
    <w:rsid w:val="00260AA5"/>
    <w:rsid w:val="00260B50"/>
    <w:rsid w:val="002617CA"/>
    <w:rsid w:val="002617E8"/>
    <w:rsid w:val="00261BED"/>
    <w:rsid w:val="00261E46"/>
    <w:rsid w:val="00261FC1"/>
    <w:rsid w:val="00262A90"/>
    <w:rsid w:val="0026334D"/>
    <w:rsid w:val="00263991"/>
    <w:rsid w:val="00263A06"/>
    <w:rsid w:val="002649E0"/>
    <w:rsid w:val="00264B69"/>
    <w:rsid w:val="00264BF7"/>
    <w:rsid w:val="00264DC5"/>
    <w:rsid w:val="002655FE"/>
    <w:rsid w:val="002660EF"/>
    <w:rsid w:val="002665A8"/>
    <w:rsid w:val="00266C71"/>
    <w:rsid w:val="002674BB"/>
    <w:rsid w:val="002700BA"/>
    <w:rsid w:val="00270E8B"/>
    <w:rsid w:val="00271B23"/>
    <w:rsid w:val="00271F9A"/>
    <w:rsid w:val="0027204B"/>
    <w:rsid w:val="002722DA"/>
    <w:rsid w:val="00272675"/>
    <w:rsid w:val="00273092"/>
    <w:rsid w:val="0027327E"/>
    <w:rsid w:val="002734A4"/>
    <w:rsid w:val="00273608"/>
    <w:rsid w:val="00273A74"/>
    <w:rsid w:val="00274C09"/>
    <w:rsid w:val="002756D5"/>
    <w:rsid w:val="00275B6C"/>
    <w:rsid w:val="00275E9E"/>
    <w:rsid w:val="00275F5F"/>
    <w:rsid w:val="00277EAA"/>
    <w:rsid w:val="0028087D"/>
    <w:rsid w:val="00280C4D"/>
    <w:rsid w:val="002813BD"/>
    <w:rsid w:val="00281651"/>
    <w:rsid w:val="002818E3"/>
    <w:rsid w:val="002822D3"/>
    <w:rsid w:val="0028289B"/>
    <w:rsid w:val="00282971"/>
    <w:rsid w:val="00282D16"/>
    <w:rsid w:val="00282EE3"/>
    <w:rsid w:val="00283133"/>
    <w:rsid w:val="00285170"/>
    <w:rsid w:val="0028596C"/>
    <w:rsid w:val="0028627A"/>
    <w:rsid w:val="002864E8"/>
    <w:rsid w:val="00286634"/>
    <w:rsid w:val="00287928"/>
    <w:rsid w:val="0028798E"/>
    <w:rsid w:val="00287DDE"/>
    <w:rsid w:val="00290BC8"/>
    <w:rsid w:val="00291A83"/>
    <w:rsid w:val="00291BC0"/>
    <w:rsid w:val="00293136"/>
    <w:rsid w:val="002940AA"/>
    <w:rsid w:val="002940B7"/>
    <w:rsid w:val="00294DC2"/>
    <w:rsid w:val="00295687"/>
    <w:rsid w:val="002956C9"/>
    <w:rsid w:val="00295F01"/>
    <w:rsid w:val="0029651A"/>
    <w:rsid w:val="002A0328"/>
    <w:rsid w:val="002A07C4"/>
    <w:rsid w:val="002A0D85"/>
    <w:rsid w:val="002A18E8"/>
    <w:rsid w:val="002A1DF5"/>
    <w:rsid w:val="002A1EED"/>
    <w:rsid w:val="002A26BF"/>
    <w:rsid w:val="002A2BE1"/>
    <w:rsid w:val="002A2D78"/>
    <w:rsid w:val="002A2EA8"/>
    <w:rsid w:val="002A36A1"/>
    <w:rsid w:val="002A37AB"/>
    <w:rsid w:val="002A3AD4"/>
    <w:rsid w:val="002A4BA6"/>
    <w:rsid w:val="002A4DEC"/>
    <w:rsid w:val="002A5097"/>
    <w:rsid w:val="002A5447"/>
    <w:rsid w:val="002A5C47"/>
    <w:rsid w:val="002A5F54"/>
    <w:rsid w:val="002A5F61"/>
    <w:rsid w:val="002A60B1"/>
    <w:rsid w:val="002A6126"/>
    <w:rsid w:val="002A6BD1"/>
    <w:rsid w:val="002A76B0"/>
    <w:rsid w:val="002A791F"/>
    <w:rsid w:val="002B0E69"/>
    <w:rsid w:val="002B162D"/>
    <w:rsid w:val="002B2DF5"/>
    <w:rsid w:val="002B35C2"/>
    <w:rsid w:val="002B4126"/>
    <w:rsid w:val="002B4A54"/>
    <w:rsid w:val="002B4CB4"/>
    <w:rsid w:val="002B7B61"/>
    <w:rsid w:val="002C05EE"/>
    <w:rsid w:val="002C1394"/>
    <w:rsid w:val="002C1AD7"/>
    <w:rsid w:val="002C1CF2"/>
    <w:rsid w:val="002C24B2"/>
    <w:rsid w:val="002C3E37"/>
    <w:rsid w:val="002C3E71"/>
    <w:rsid w:val="002C4572"/>
    <w:rsid w:val="002C484F"/>
    <w:rsid w:val="002C6AAB"/>
    <w:rsid w:val="002C6EE8"/>
    <w:rsid w:val="002C6F23"/>
    <w:rsid w:val="002C79A8"/>
    <w:rsid w:val="002C7AC6"/>
    <w:rsid w:val="002C7B51"/>
    <w:rsid w:val="002C7EB8"/>
    <w:rsid w:val="002D0AB5"/>
    <w:rsid w:val="002D1385"/>
    <w:rsid w:val="002D18E7"/>
    <w:rsid w:val="002D1983"/>
    <w:rsid w:val="002D2583"/>
    <w:rsid w:val="002D2882"/>
    <w:rsid w:val="002D2A78"/>
    <w:rsid w:val="002D2DCF"/>
    <w:rsid w:val="002D3C11"/>
    <w:rsid w:val="002D3C77"/>
    <w:rsid w:val="002D4C04"/>
    <w:rsid w:val="002D4E0D"/>
    <w:rsid w:val="002D4F08"/>
    <w:rsid w:val="002D5148"/>
    <w:rsid w:val="002D5AFB"/>
    <w:rsid w:val="002D5E31"/>
    <w:rsid w:val="002D5ECA"/>
    <w:rsid w:val="002D6454"/>
    <w:rsid w:val="002D67A9"/>
    <w:rsid w:val="002D6C8C"/>
    <w:rsid w:val="002D72B5"/>
    <w:rsid w:val="002D7BAA"/>
    <w:rsid w:val="002D7EAD"/>
    <w:rsid w:val="002E0444"/>
    <w:rsid w:val="002E11AD"/>
    <w:rsid w:val="002E1F59"/>
    <w:rsid w:val="002E1FC0"/>
    <w:rsid w:val="002E2D2D"/>
    <w:rsid w:val="002E33E4"/>
    <w:rsid w:val="002E3784"/>
    <w:rsid w:val="002E3993"/>
    <w:rsid w:val="002E3C2E"/>
    <w:rsid w:val="002E47FC"/>
    <w:rsid w:val="002E5123"/>
    <w:rsid w:val="002E5718"/>
    <w:rsid w:val="002E581F"/>
    <w:rsid w:val="002E5DEE"/>
    <w:rsid w:val="002E649A"/>
    <w:rsid w:val="002E7449"/>
    <w:rsid w:val="002E7582"/>
    <w:rsid w:val="002F00AA"/>
    <w:rsid w:val="002F0454"/>
    <w:rsid w:val="002F0FFB"/>
    <w:rsid w:val="002F10BE"/>
    <w:rsid w:val="002F1AF9"/>
    <w:rsid w:val="002F1BED"/>
    <w:rsid w:val="002F21DF"/>
    <w:rsid w:val="002F3F9D"/>
    <w:rsid w:val="002F43FC"/>
    <w:rsid w:val="002F5992"/>
    <w:rsid w:val="002F5BF1"/>
    <w:rsid w:val="002F65BF"/>
    <w:rsid w:val="002F78F5"/>
    <w:rsid w:val="00300653"/>
    <w:rsid w:val="003032B0"/>
    <w:rsid w:val="00303A23"/>
    <w:rsid w:val="00304C63"/>
    <w:rsid w:val="00305A32"/>
    <w:rsid w:val="00306063"/>
    <w:rsid w:val="00306CA0"/>
    <w:rsid w:val="0030749A"/>
    <w:rsid w:val="0030756B"/>
    <w:rsid w:val="003075C9"/>
    <w:rsid w:val="003100C8"/>
    <w:rsid w:val="003105F9"/>
    <w:rsid w:val="00310EF5"/>
    <w:rsid w:val="0031133D"/>
    <w:rsid w:val="0031188E"/>
    <w:rsid w:val="00311F7E"/>
    <w:rsid w:val="003122DE"/>
    <w:rsid w:val="003138E9"/>
    <w:rsid w:val="00313E58"/>
    <w:rsid w:val="00313FE3"/>
    <w:rsid w:val="00314B48"/>
    <w:rsid w:val="003152CD"/>
    <w:rsid w:val="003158F5"/>
    <w:rsid w:val="00315A68"/>
    <w:rsid w:val="00315CD9"/>
    <w:rsid w:val="00315EE7"/>
    <w:rsid w:val="00315F3F"/>
    <w:rsid w:val="0031685A"/>
    <w:rsid w:val="003172DF"/>
    <w:rsid w:val="00317AFA"/>
    <w:rsid w:val="00317B3E"/>
    <w:rsid w:val="003215E2"/>
    <w:rsid w:val="0032193A"/>
    <w:rsid w:val="00321B2D"/>
    <w:rsid w:val="003225DC"/>
    <w:rsid w:val="0032357C"/>
    <w:rsid w:val="0032369B"/>
    <w:rsid w:val="00323E06"/>
    <w:rsid w:val="00324141"/>
    <w:rsid w:val="003243EA"/>
    <w:rsid w:val="003247E0"/>
    <w:rsid w:val="00326179"/>
    <w:rsid w:val="00326836"/>
    <w:rsid w:val="003271C2"/>
    <w:rsid w:val="00327940"/>
    <w:rsid w:val="00330AEC"/>
    <w:rsid w:val="00332547"/>
    <w:rsid w:val="00332F72"/>
    <w:rsid w:val="00332FDC"/>
    <w:rsid w:val="003342E0"/>
    <w:rsid w:val="00334605"/>
    <w:rsid w:val="00334AF5"/>
    <w:rsid w:val="00334BE0"/>
    <w:rsid w:val="00334F99"/>
    <w:rsid w:val="003354FC"/>
    <w:rsid w:val="003363F4"/>
    <w:rsid w:val="003369BD"/>
    <w:rsid w:val="00336B1A"/>
    <w:rsid w:val="0033709E"/>
    <w:rsid w:val="003373DE"/>
    <w:rsid w:val="00337526"/>
    <w:rsid w:val="003379A5"/>
    <w:rsid w:val="003379EA"/>
    <w:rsid w:val="00337A97"/>
    <w:rsid w:val="00337BEC"/>
    <w:rsid w:val="003400DE"/>
    <w:rsid w:val="00340275"/>
    <w:rsid w:val="003402B4"/>
    <w:rsid w:val="003406B4"/>
    <w:rsid w:val="00340A11"/>
    <w:rsid w:val="00340EC1"/>
    <w:rsid w:val="00341069"/>
    <w:rsid w:val="00341742"/>
    <w:rsid w:val="00342438"/>
    <w:rsid w:val="00343312"/>
    <w:rsid w:val="00343B2C"/>
    <w:rsid w:val="00343EFB"/>
    <w:rsid w:val="0034404A"/>
    <w:rsid w:val="0034420A"/>
    <w:rsid w:val="003448E7"/>
    <w:rsid w:val="00344C31"/>
    <w:rsid w:val="00345555"/>
    <w:rsid w:val="003456AB"/>
    <w:rsid w:val="003463DA"/>
    <w:rsid w:val="003468CB"/>
    <w:rsid w:val="00347615"/>
    <w:rsid w:val="003478B9"/>
    <w:rsid w:val="003500BE"/>
    <w:rsid w:val="00350415"/>
    <w:rsid w:val="003508DC"/>
    <w:rsid w:val="0035093A"/>
    <w:rsid w:val="00350F81"/>
    <w:rsid w:val="003510C4"/>
    <w:rsid w:val="00351482"/>
    <w:rsid w:val="003514F4"/>
    <w:rsid w:val="00351D51"/>
    <w:rsid w:val="003530E7"/>
    <w:rsid w:val="00353F2A"/>
    <w:rsid w:val="00353F58"/>
    <w:rsid w:val="0035421B"/>
    <w:rsid w:val="003544AF"/>
    <w:rsid w:val="0035454A"/>
    <w:rsid w:val="003558F7"/>
    <w:rsid w:val="00355C9D"/>
    <w:rsid w:val="003569AC"/>
    <w:rsid w:val="00356C2F"/>
    <w:rsid w:val="00356C84"/>
    <w:rsid w:val="00356FFD"/>
    <w:rsid w:val="003600B1"/>
    <w:rsid w:val="003604B5"/>
    <w:rsid w:val="0036063E"/>
    <w:rsid w:val="00360674"/>
    <w:rsid w:val="00360814"/>
    <w:rsid w:val="00360FC4"/>
    <w:rsid w:val="003610DE"/>
    <w:rsid w:val="003617DE"/>
    <w:rsid w:val="003629F7"/>
    <w:rsid w:val="00363685"/>
    <w:rsid w:val="00363B01"/>
    <w:rsid w:val="00363B41"/>
    <w:rsid w:val="00364030"/>
    <w:rsid w:val="0036488D"/>
    <w:rsid w:val="00364DDF"/>
    <w:rsid w:val="00365AA3"/>
    <w:rsid w:val="00365D0A"/>
    <w:rsid w:val="0036647F"/>
    <w:rsid w:val="003669F9"/>
    <w:rsid w:val="00366EDD"/>
    <w:rsid w:val="00366EEA"/>
    <w:rsid w:val="00367556"/>
    <w:rsid w:val="003677D9"/>
    <w:rsid w:val="0036799C"/>
    <w:rsid w:val="00367A0C"/>
    <w:rsid w:val="00367E60"/>
    <w:rsid w:val="003700B1"/>
    <w:rsid w:val="00370405"/>
    <w:rsid w:val="003705AB"/>
    <w:rsid w:val="0037067D"/>
    <w:rsid w:val="003709BF"/>
    <w:rsid w:val="00370FD4"/>
    <w:rsid w:val="003711A8"/>
    <w:rsid w:val="00372D41"/>
    <w:rsid w:val="00373519"/>
    <w:rsid w:val="0037363C"/>
    <w:rsid w:val="00373868"/>
    <w:rsid w:val="00373A8E"/>
    <w:rsid w:val="00373E34"/>
    <w:rsid w:val="00374618"/>
    <w:rsid w:val="00374F44"/>
    <w:rsid w:val="00375688"/>
    <w:rsid w:val="00375770"/>
    <w:rsid w:val="0037578D"/>
    <w:rsid w:val="00376040"/>
    <w:rsid w:val="00376C25"/>
    <w:rsid w:val="00377640"/>
    <w:rsid w:val="00381013"/>
    <w:rsid w:val="00381463"/>
    <w:rsid w:val="00381A1E"/>
    <w:rsid w:val="00381A59"/>
    <w:rsid w:val="00381BB1"/>
    <w:rsid w:val="00382A55"/>
    <w:rsid w:val="00382AE8"/>
    <w:rsid w:val="00383153"/>
    <w:rsid w:val="003833B9"/>
    <w:rsid w:val="00383D5F"/>
    <w:rsid w:val="0038412A"/>
    <w:rsid w:val="00384161"/>
    <w:rsid w:val="00384667"/>
    <w:rsid w:val="00384ABB"/>
    <w:rsid w:val="00384B0B"/>
    <w:rsid w:val="00385126"/>
    <w:rsid w:val="00385676"/>
    <w:rsid w:val="00385F96"/>
    <w:rsid w:val="003876EF"/>
    <w:rsid w:val="00387D04"/>
    <w:rsid w:val="00390745"/>
    <w:rsid w:val="00391190"/>
    <w:rsid w:val="00391300"/>
    <w:rsid w:val="003916E5"/>
    <w:rsid w:val="00391806"/>
    <w:rsid w:val="00391AD2"/>
    <w:rsid w:val="00391CED"/>
    <w:rsid w:val="00391E06"/>
    <w:rsid w:val="00391F2A"/>
    <w:rsid w:val="00391F40"/>
    <w:rsid w:val="00392EA3"/>
    <w:rsid w:val="00393E17"/>
    <w:rsid w:val="00394962"/>
    <w:rsid w:val="00394B47"/>
    <w:rsid w:val="00395195"/>
    <w:rsid w:val="00395427"/>
    <w:rsid w:val="003956E6"/>
    <w:rsid w:val="00395E53"/>
    <w:rsid w:val="00396F1A"/>
    <w:rsid w:val="00397D8D"/>
    <w:rsid w:val="00397EAE"/>
    <w:rsid w:val="003A06E6"/>
    <w:rsid w:val="003A08A6"/>
    <w:rsid w:val="003A1257"/>
    <w:rsid w:val="003A154B"/>
    <w:rsid w:val="003A1C4A"/>
    <w:rsid w:val="003A2C70"/>
    <w:rsid w:val="003A2D6A"/>
    <w:rsid w:val="003A36C5"/>
    <w:rsid w:val="003A460A"/>
    <w:rsid w:val="003A4A52"/>
    <w:rsid w:val="003A5196"/>
    <w:rsid w:val="003A51CF"/>
    <w:rsid w:val="003A681E"/>
    <w:rsid w:val="003A698F"/>
    <w:rsid w:val="003A71C5"/>
    <w:rsid w:val="003A7A96"/>
    <w:rsid w:val="003B03B1"/>
    <w:rsid w:val="003B1B5A"/>
    <w:rsid w:val="003B262B"/>
    <w:rsid w:val="003B26EA"/>
    <w:rsid w:val="003B3908"/>
    <w:rsid w:val="003B4168"/>
    <w:rsid w:val="003B422D"/>
    <w:rsid w:val="003B4EFF"/>
    <w:rsid w:val="003B4F61"/>
    <w:rsid w:val="003B5951"/>
    <w:rsid w:val="003B5DA1"/>
    <w:rsid w:val="003B5E10"/>
    <w:rsid w:val="003B5E1A"/>
    <w:rsid w:val="003B636D"/>
    <w:rsid w:val="003B6B0E"/>
    <w:rsid w:val="003B6D15"/>
    <w:rsid w:val="003B6E67"/>
    <w:rsid w:val="003B74EC"/>
    <w:rsid w:val="003B78D6"/>
    <w:rsid w:val="003B7D15"/>
    <w:rsid w:val="003B7EF6"/>
    <w:rsid w:val="003C000D"/>
    <w:rsid w:val="003C00C6"/>
    <w:rsid w:val="003C0B2F"/>
    <w:rsid w:val="003C1380"/>
    <w:rsid w:val="003C1656"/>
    <w:rsid w:val="003C1F9F"/>
    <w:rsid w:val="003C30FA"/>
    <w:rsid w:val="003C38EE"/>
    <w:rsid w:val="003C4213"/>
    <w:rsid w:val="003C45F2"/>
    <w:rsid w:val="003C48E0"/>
    <w:rsid w:val="003C4CD2"/>
    <w:rsid w:val="003C505C"/>
    <w:rsid w:val="003C6038"/>
    <w:rsid w:val="003C60BB"/>
    <w:rsid w:val="003C6140"/>
    <w:rsid w:val="003C6562"/>
    <w:rsid w:val="003C6BB6"/>
    <w:rsid w:val="003C6E2F"/>
    <w:rsid w:val="003C74F3"/>
    <w:rsid w:val="003C792E"/>
    <w:rsid w:val="003D0A4D"/>
    <w:rsid w:val="003D0B5C"/>
    <w:rsid w:val="003D10B4"/>
    <w:rsid w:val="003D1221"/>
    <w:rsid w:val="003D1564"/>
    <w:rsid w:val="003D36BE"/>
    <w:rsid w:val="003D4B09"/>
    <w:rsid w:val="003D5353"/>
    <w:rsid w:val="003D5A04"/>
    <w:rsid w:val="003D5A13"/>
    <w:rsid w:val="003D60F4"/>
    <w:rsid w:val="003D678C"/>
    <w:rsid w:val="003D6A81"/>
    <w:rsid w:val="003D72B6"/>
    <w:rsid w:val="003E005D"/>
    <w:rsid w:val="003E0120"/>
    <w:rsid w:val="003E19C3"/>
    <w:rsid w:val="003E1FE4"/>
    <w:rsid w:val="003E2042"/>
    <w:rsid w:val="003E2438"/>
    <w:rsid w:val="003E28C3"/>
    <w:rsid w:val="003E292D"/>
    <w:rsid w:val="003E2C39"/>
    <w:rsid w:val="003E32B7"/>
    <w:rsid w:val="003E382C"/>
    <w:rsid w:val="003E443A"/>
    <w:rsid w:val="003E458F"/>
    <w:rsid w:val="003E5B24"/>
    <w:rsid w:val="003E637D"/>
    <w:rsid w:val="003E6945"/>
    <w:rsid w:val="003E7F92"/>
    <w:rsid w:val="003F1181"/>
    <w:rsid w:val="003F14EF"/>
    <w:rsid w:val="003F1728"/>
    <w:rsid w:val="003F20FF"/>
    <w:rsid w:val="003F21CE"/>
    <w:rsid w:val="003F28F3"/>
    <w:rsid w:val="003F2CE6"/>
    <w:rsid w:val="003F30C3"/>
    <w:rsid w:val="003F3ED2"/>
    <w:rsid w:val="003F43F8"/>
    <w:rsid w:val="003F4D0E"/>
    <w:rsid w:val="003F5A7E"/>
    <w:rsid w:val="003F5F66"/>
    <w:rsid w:val="003F65F1"/>
    <w:rsid w:val="003F65F8"/>
    <w:rsid w:val="003F6617"/>
    <w:rsid w:val="003F7AF3"/>
    <w:rsid w:val="003F7B71"/>
    <w:rsid w:val="004002AF"/>
    <w:rsid w:val="00400744"/>
    <w:rsid w:val="00400913"/>
    <w:rsid w:val="004009A3"/>
    <w:rsid w:val="0040125C"/>
    <w:rsid w:val="00401E9C"/>
    <w:rsid w:val="00402707"/>
    <w:rsid w:val="00402A07"/>
    <w:rsid w:val="0040426C"/>
    <w:rsid w:val="00404CA4"/>
    <w:rsid w:val="00404DB4"/>
    <w:rsid w:val="00405D71"/>
    <w:rsid w:val="00406A4D"/>
    <w:rsid w:val="00407053"/>
    <w:rsid w:val="004078B3"/>
    <w:rsid w:val="00407C3F"/>
    <w:rsid w:val="00407DEA"/>
    <w:rsid w:val="00410321"/>
    <w:rsid w:val="004107FB"/>
    <w:rsid w:val="00410FAA"/>
    <w:rsid w:val="00413DF4"/>
    <w:rsid w:val="0041426C"/>
    <w:rsid w:val="0041469D"/>
    <w:rsid w:val="00414778"/>
    <w:rsid w:val="00414F8A"/>
    <w:rsid w:val="004155EE"/>
    <w:rsid w:val="004159AF"/>
    <w:rsid w:val="004159D4"/>
    <w:rsid w:val="004160A0"/>
    <w:rsid w:val="00416B4D"/>
    <w:rsid w:val="004171DF"/>
    <w:rsid w:val="004176BC"/>
    <w:rsid w:val="00417D17"/>
    <w:rsid w:val="00420036"/>
    <w:rsid w:val="004201A8"/>
    <w:rsid w:val="004216AF"/>
    <w:rsid w:val="00421BBB"/>
    <w:rsid w:val="00421F64"/>
    <w:rsid w:val="0042246F"/>
    <w:rsid w:val="00422885"/>
    <w:rsid w:val="00424072"/>
    <w:rsid w:val="0042497B"/>
    <w:rsid w:val="00424B45"/>
    <w:rsid w:val="00424CB9"/>
    <w:rsid w:val="0042529E"/>
    <w:rsid w:val="004252F4"/>
    <w:rsid w:val="0042561D"/>
    <w:rsid w:val="00426191"/>
    <w:rsid w:val="00426880"/>
    <w:rsid w:val="0042762B"/>
    <w:rsid w:val="004309DA"/>
    <w:rsid w:val="00430CDA"/>
    <w:rsid w:val="004310F8"/>
    <w:rsid w:val="004316D7"/>
    <w:rsid w:val="00432BAB"/>
    <w:rsid w:val="00433578"/>
    <w:rsid w:val="004338AF"/>
    <w:rsid w:val="00433A11"/>
    <w:rsid w:val="00433AAF"/>
    <w:rsid w:val="00433AE7"/>
    <w:rsid w:val="00434505"/>
    <w:rsid w:val="00434ECC"/>
    <w:rsid w:val="00434FF3"/>
    <w:rsid w:val="0043514F"/>
    <w:rsid w:val="004355F3"/>
    <w:rsid w:val="0043580E"/>
    <w:rsid w:val="00436186"/>
    <w:rsid w:val="004361BB"/>
    <w:rsid w:val="00436D63"/>
    <w:rsid w:val="0043767A"/>
    <w:rsid w:val="00437806"/>
    <w:rsid w:val="00437C32"/>
    <w:rsid w:val="00440428"/>
    <w:rsid w:val="004407DC"/>
    <w:rsid w:val="00440A6A"/>
    <w:rsid w:val="00440F7C"/>
    <w:rsid w:val="0044115C"/>
    <w:rsid w:val="0044160C"/>
    <w:rsid w:val="0044170B"/>
    <w:rsid w:val="004431DD"/>
    <w:rsid w:val="004436D7"/>
    <w:rsid w:val="00445694"/>
    <w:rsid w:val="00445DAA"/>
    <w:rsid w:val="004460A6"/>
    <w:rsid w:val="004466D1"/>
    <w:rsid w:val="00446942"/>
    <w:rsid w:val="00447C72"/>
    <w:rsid w:val="00450209"/>
    <w:rsid w:val="00450258"/>
    <w:rsid w:val="004517DC"/>
    <w:rsid w:val="00451972"/>
    <w:rsid w:val="00451ED2"/>
    <w:rsid w:val="004520DD"/>
    <w:rsid w:val="004528BC"/>
    <w:rsid w:val="00452B04"/>
    <w:rsid w:val="00452C22"/>
    <w:rsid w:val="00452C79"/>
    <w:rsid w:val="00453B63"/>
    <w:rsid w:val="004557DE"/>
    <w:rsid w:val="00455880"/>
    <w:rsid w:val="00456A6C"/>
    <w:rsid w:val="00457F4F"/>
    <w:rsid w:val="004600CA"/>
    <w:rsid w:val="00460328"/>
    <w:rsid w:val="004615E7"/>
    <w:rsid w:val="00461DA5"/>
    <w:rsid w:val="00462036"/>
    <w:rsid w:val="00462387"/>
    <w:rsid w:val="00462B39"/>
    <w:rsid w:val="00462BCC"/>
    <w:rsid w:val="004633F7"/>
    <w:rsid w:val="00463467"/>
    <w:rsid w:val="0046371E"/>
    <w:rsid w:val="0046402A"/>
    <w:rsid w:val="004646A1"/>
    <w:rsid w:val="0046539E"/>
    <w:rsid w:val="00466259"/>
    <w:rsid w:val="00466721"/>
    <w:rsid w:val="00467506"/>
    <w:rsid w:val="00467616"/>
    <w:rsid w:val="00467909"/>
    <w:rsid w:val="00467935"/>
    <w:rsid w:val="004712B9"/>
    <w:rsid w:val="00471B72"/>
    <w:rsid w:val="0047284C"/>
    <w:rsid w:val="00472DB8"/>
    <w:rsid w:val="00473605"/>
    <w:rsid w:val="004736AA"/>
    <w:rsid w:val="004746EF"/>
    <w:rsid w:val="0047471D"/>
    <w:rsid w:val="00474882"/>
    <w:rsid w:val="00475309"/>
    <w:rsid w:val="00475AE6"/>
    <w:rsid w:val="00475D73"/>
    <w:rsid w:val="00476107"/>
    <w:rsid w:val="004761E9"/>
    <w:rsid w:val="00476E7D"/>
    <w:rsid w:val="00477277"/>
    <w:rsid w:val="0047746A"/>
    <w:rsid w:val="00480FF9"/>
    <w:rsid w:val="00481305"/>
    <w:rsid w:val="004819F7"/>
    <w:rsid w:val="00481C60"/>
    <w:rsid w:val="00481F00"/>
    <w:rsid w:val="00482319"/>
    <w:rsid w:val="004826D8"/>
    <w:rsid w:val="00482990"/>
    <w:rsid w:val="00482CDC"/>
    <w:rsid w:val="00483118"/>
    <w:rsid w:val="00484475"/>
    <w:rsid w:val="00484846"/>
    <w:rsid w:val="00484FD0"/>
    <w:rsid w:val="004856E2"/>
    <w:rsid w:val="00485ED1"/>
    <w:rsid w:val="0048614C"/>
    <w:rsid w:val="00486629"/>
    <w:rsid w:val="00486BEA"/>
    <w:rsid w:val="00486C02"/>
    <w:rsid w:val="00486E7C"/>
    <w:rsid w:val="00487101"/>
    <w:rsid w:val="004875BE"/>
    <w:rsid w:val="0048761E"/>
    <w:rsid w:val="004878C0"/>
    <w:rsid w:val="00487FAD"/>
    <w:rsid w:val="00490976"/>
    <w:rsid w:val="00490A29"/>
    <w:rsid w:val="00490A81"/>
    <w:rsid w:val="00490C49"/>
    <w:rsid w:val="00490E77"/>
    <w:rsid w:val="00491348"/>
    <w:rsid w:val="00491389"/>
    <w:rsid w:val="004913C7"/>
    <w:rsid w:val="004926B4"/>
    <w:rsid w:val="00492BB9"/>
    <w:rsid w:val="00492BCA"/>
    <w:rsid w:val="00492F4E"/>
    <w:rsid w:val="00493137"/>
    <w:rsid w:val="00493668"/>
    <w:rsid w:val="0049424F"/>
    <w:rsid w:val="004952C7"/>
    <w:rsid w:val="00495950"/>
    <w:rsid w:val="00495E20"/>
    <w:rsid w:val="00496868"/>
    <w:rsid w:val="00497063"/>
    <w:rsid w:val="004975C0"/>
    <w:rsid w:val="00497B7F"/>
    <w:rsid w:val="004A01F0"/>
    <w:rsid w:val="004A0287"/>
    <w:rsid w:val="004A0897"/>
    <w:rsid w:val="004A0F7A"/>
    <w:rsid w:val="004A15DF"/>
    <w:rsid w:val="004A1760"/>
    <w:rsid w:val="004A2D8A"/>
    <w:rsid w:val="004A2DB4"/>
    <w:rsid w:val="004A30E4"/>
    <w:rsid w:val="004A3256"/>
    <w:rsid w:val="004A41BC"/>
    <w:rsid w:val="004A42D3"/>
    <w:rsid w:val="004A46C6"/>
    <w:rsid w:val="004A51A3"/>
    <w:rsid w:val="004A59A2"/>
    <w:rsid w:val="004A62DC"/>
    <w:rsid w:val="004A64E0"/>
    <w:rsid w:val="004A68C3"/>
    <w:rsid w:val="004A7607"/>
    <w:rsid w:val="004A78D8"/>
    <w:rsid w:val="004A7B66"/>
    <w:rsid w:val="004A7C23"/>
    <w:rsid w:val="004B0600"/>
    <w:rsid w:val="004B1382"/>
    <w:rsid w:val="004B34C7"/>
    <w:rsid w:val="004B3A56"/>
    <w:rsid w:val="004B416F"/>
    <w:rsid w:val="004B48BE"/>
    <w:rsid w:val="004B49F3"/>
    <w:rsid w:val="004B4A17"/>
    <w:rsid w:val="004B69E8"/>
    <w:rsid w:val="004B6ACB"/>
    <w:rsid w:val="004B6AEC"/>
    <w:rsid w:val="004B6E86"/>
    <w:rsid w:val="004B743E"/>
    <w:rsid w:val="004B77D3"/>
    <w:rsid w:val="004B781A"/>
    <w:rsid w:val="004C004F"/>
    <w:rsid w:val="004C07FC"/>
    <w:rsid w:val="004C0D38"/>
    <w:rsid w:val="004C0FF2"/>
    <w:rsid w:val="004C16F4"/>
    <w:rsid w:val="004C2BB0"/>
    <w:rsid w:val="004C31B1"/>
    <w:rsid w:val="004C4863"/>
    <w:rsid w:val="004C55BE"/>
    <w:rsid w:val="004C56C4"/>
    <w:rsid w:val="004C726D"/>
    <w:rsid w:val="004C7647"/>
    <w:rsid w:val="004C7F62"/>
    <w:rsid w:val="004D00FE"/>
    <w:rsid w:val="004D03E5"/>
    <w:rsid w:val="004D0A3A"/>
    <w:rsid w:val="004D2B01"/>
    <w:rsid w:val="004D3DD3"/>
    <w:rsid w:val="004D4107"/>
    <w:rsid w:val="004D57EA"/>
    <w:rsid w:val="004D6A05"/>
    <w:rsid w:val="004D6DB8"/>
    <w:rsid w:val="004D6F49"/>
    <w:rsid w:val="004D7FE0"/>
    <w:rsid w:val="004E086A"/>
    <w:rsid w:val="004E0E3D"/>
    <w:rsid w:val="004E1B65"/>
    <w:rsid w:val="004E1EE3"/>
    <w:rsid w:val="004E2410"/>
    <w:rsid w:val="004E2944"/>
    <w:rsid w:val="004E2C34"/>
    <w:rsid w:val="004E3652"/>
    <w:rsid w:val="004E3781"/>
    <w:rsid w:val="004E4222"/>
    <w:rsid w:val="004E4DAE"/>
    <w:rsid w:val="004E5585"/>
    <w:rsid w:val="004E69CC"/>
    <w:rsid w:val="004E69FF"/>
    <w:rsid w:val="004E6A48"/>
    <w:rsid w:val="004E754F"/>
    <w:rsid w:val="004F0ACE"/>
    <w:rsid w:val="004F0F90"/>
    <w:rsid w:val="004F203D"/>
    <w:rsid w:val="004F25BD"/>
    <w:rsid w:val="004F2613"/>
    <w:rsid w:val="004F3AF0"/>
    <w:rsid w:val="004F477D"/>
    <w:rsid w:val="004F4D96"/>
    <w:rsid w:val="004F546D"/>
    <w:rsid w:val="004F55F7"/>
    <w:rsid w:val="004F5D13"/>
    <w:rsid w:val="004F6009"/>
    <w:rsid w:val="004F6E92"/>
    <w:rsid w:val="004F728C"/>
    <w:rsid w:val="004F7CE8"/>
    <w:rsid w:val="005003CF"/>
    <w:rsid w:val="0050195C"/>
    <w:rsid w:val="00501AD4"/>
    <w:rsid w:val="00501D5F"/>
    <w:rsid w:val="00502E67"/>
    <w:rsid w:val="00503BA5"/>
    <w:rsid w:val="0050419F"/>
    <w:rsid w:val="005049BF"/>
    <w:rsid w:val="00504FA6"/>
    <w:rsid w:val="005056DF"/>
    <w:rsid w:val="00505A1B"/>
    <w:rsid w:val="00506EB6"/>
    <w:rsid w:val="00507FC7"/>
    <w:rsid w:val="00510190"/>
    <w:rsid w:val="005102A2"/>
    <w:rsid w:val="0051159F"/>
    <w:rsid w:val="00511D91"/>
    <w:rsid w:val="0051243E"/>
    <w:rsid w:val="00513028"/>
    <w:rsid w:val="0051419B"/>
    <w:rsid w:val="005143E7"/>
    <w:rsid w:val="00514958"/>
    <w:rsid w:val="005159CE"/>
    <w:rsid w:val="00515FDA"/>
    <w:rsid w:val="005160A0"/>
    <w:rsid w:val="005169BA"/>
    <w:rsid w:val="00516F06"/>
    <w:rsid w:val="0051707A"/>
    <w:rsid w:val="00517186"/>
    <w:rsid w:val="0051720F"/>
    <w:rsid w:val="00517CA1"/>
    <w:rsid w:val="005205E2"/>
    <w:rsid w:val="00521B18"/>
    <w:rsid w:val="00521D7C"/>
    <w:rsid w:val="00522593"/>
    <w:rsid w:val="00522ED3"/>
    <w:rsid w:val="0052382C"/>
    <w:rsid w:val="00523E0A"/>
    <w:rsid w:val="005252BC"/>
    <w:rsid w:val="005263CF"/>
    <w:rsid w:val="00526579"/>
    <w:rsid w:val="005272CA"/>
    <w:rsid w:val="00527406"/>
    <w:rsid w:val="0052794B"/>
    <w:rsid w:val="00527BD7"/>
    <w:rsid w:val="00530B85"/>
    <w:rsid w:val="00530D2D"/>
    <w:rsid w:val="005311B1"/>
    <w:rsid w:val="0053147C"/>
    <w:rsid w:val="005325BD"/>
    <w:rsid w:val="00532CEB"/>
    <w:rsid w:val="00532D1E"/>
    <w:rsid w:val="0053345A"/>
    <w:rsid w:val="00533745"/>
    <w:rsid w:val="005338E6"/>
    <w:rsid w:val="005338F2"/>
    <w:rsid w:val="0053471F"/>
    <w:rsid w:val="005360A3"/>
    <w:rsid w:val="00536E3E"/>
    <w:rsid w:val="00536FD7"/>
    <w:rsid w:val="00537024"/>
    <w:rsid w:val="005373F7"/>
    <w:rsid w:val="00537D16"/>
    <w:rsid w:val="00540184"/>
    <w:rsid w:val="005409AE"/>
    <w:rsid w:val="00540A3E"/>
    <w:rsid w:val="00541F4D"/>
    <w:rsid w:val="00542535"/>
    <w:rsid w:val="00542566"/>
    <w:rsid w:val="005425DD"/>
    <w:rsid w:val="005428D7"/>
    <w:rsid w:val="00542A17"/>
    <w:rsid w:val="005432AA"/>
    <w:rsid w:val="005433E0"/>
    <w:rsid w:val="00543512"/>
    <w:rsid w:val="005435F2"/>
    <w:rsid w:val="00543F8E"/>
    <w:rsid w:val="00544055"/>
    <w:rsid w:val="00544812"/>
    <w:rsid w:val="00544AC0"/>
    <w:rsid w:val="00544CE8"/>
    <w:rsid w:val="005453DC"/>
    <w:rsid w:val="00545631"/>
    <w:rsid w:val="00545AC4"/>
    <w:rsid w:val="00545CD6"/>
    <w:rsid w:val="00546CEB"/>
    <w:rsid w:val="00546D01"/>
    <w:rsid w:val="00546EAC"/>
    <w:rsid w:val="00550119"/>
    <w:rsid w:val="00550D69"/>
    <w:rsid w:val="00550E31"/>
    <w:rsid w:val="005513C4"/>
    <w:rsid w:val="005517CD"/>
    <w:rsid w:val="00551988"/>
    <w:rsid w:val="00551CE3"/>
    <w:rsid w:val="0055209F"/>
    <w:rsid w:val="00552588"/>
    <w:rsid w:val="00552789"/>
    <w:rsid w:val="00552E9C"/>
    <w:rsid w:val="00552F83"/>
    <w:rsid w:val="00553493"/>
    <w:rsid w:val="00553C58"/>
    <w:rsid w:val="00554640"/>
    <w:rsid w:val="005547F5"/>
    <w:rsid w:val="005553A1"/>
    <w:rsid w:val="005557AB"/>
    <w:rsid w:val="005559FD"/>
    <w:rsid w:val="00555CBC"/>
    <w:rsid w:val="0055625D"/>
    <w:rsid w:val="00556381"/>
    <w:rsid w:val="00557E44"/>
    <w:rsid w:val="00557F39"/>
    <w:rsid w:val="00560372"/>
    <w:rsid w:val="0056045B"/>
    <w:rsid w:val="00560573"/>
    <w:rsid w:val="0056100B"/>
    <w:rsid w:val="005613A4"/>
    <w:rsid w:val="00561D1C"/>
    <w:rsid w:val="00562678"/>
    <w:rsid w:val="00562900"/>
    <w:rsid w:val="00562D52"/>
    <w:rsid w:val="005631CF"/>
    <w:rsid w:val="00563604"/>
    <w:rsid w:val="0056389B"/>
    <w:rsid w:val="00563C3D"/>
    <w:rsid w:val="005646A4"/>
    <w:rsid w:val="00564877"/>
    <w:rsid w:val="00564F55"/>
    <w:rsid w:val="005654EA"/>
    <w:rsid w:val="00565909"/>
    <w:rsid w:val="005666EF"/>
    <w:rsid w:val="00567027"/>
    <w:rsid w:val="00567184"/>
    <w:rsid w:val="005673FE"/>
    <w:rsid w:val="00567682"/>
    <w:rsid w:val="0056789E"/>
    <w:rsid w:val="00567C88"/>
    <w:rsid w:val="00567F52"/>
    <w:rsid w:val="005701F8"/>
    <w:rsid w:val="005702FA"/>
    <w:rsid w:val="00570AA1"/>
    <w:rsid w:val="0057122E"/>
    <w:rsid w:val="00571D26"/>
    <w:rsid w:val="00573011"/>
    <w:rsid w:val="005732FB"/>
    <w:rsid w:val="005738AE"/>
    <w:rsid w:val="005740CC"/>
    <w:rsid w:val="00574B65"/>
    <w:rsid w:val="00574B9A"/>
    <w:rsid w:val="00574FC2"/>
    <w:rsid w:val="00575303"/>
    <w:rsid w:val="00576121"/>
    <w:rsid w:val="005764AF"/>
    <w:rsid w:val="00576FDA"/>
    <w:rsid w:val="005772F5"/>
    <w:rsid w:val="0058002A"/>
    <w:rsid w:val="0058028C"/>
    <w:rsid w:val="00580FF4"/>
    <w:rsid w:val="005810A0"/>
    <w:rsid w:val="005810DC"/>
    <w:rsid w:val="005812F1"/>
    <w:rsid w:val="00581762"/>
    <w:rsid w:val="00581A20"/>
    <w:rsid w:val="00583407"/>
    <w:rsid w:val="005834AC"/>
    <w:rsid w:val="005836C4"/>
    <w:rsid w:val="00583BF7"/>
    <w:rsid w:val="00583F68"/>
    <w:rsid w:val="0058458E"/>
    <w:rsid w:val="0058493B"/>
    <w:rsid w:val="00584A0E"/>
    <w:rsid w:val="00584D04"/>
    <w:rsid w:val="0058702E"/>
    <w:rsid w:val="00587392"/>
    <w:rsid w:val="00587489"/>
    <w:rsid w:val="00587D89"/>
    <w:rsid w:val="0059086A"/>
    <w:rsid w:val="0059125F"/>
    <w:rsid w:val="005915FD"/>
    <w:rsid w:val="0059172F"/>
    <w:rsid w:val="0059207A"/>
    <w:rsid w:val="00594322"/>
    <w:rsid w:val="00596438"/>
    <w:rsid w:val="00596E27"/>
    <w:rsid w:val="005976B4"/>
    <w:rsid w:val="00597CBD"/>
    <w:rsid w:val="00597FD0"/>
    <w:rsid w:val="005A0A2C"/>
    <w:rsid w:val="005A0D49"/>
    <w:rsid w:val="005A0E05"/>
    <w:rsid w:val="005A18C5"/>
    <w:rsid w:val="005A2AF9"/>
    <w:rsid w:val="005A3044"/>
    <w:rsid w:val="005A38AE"/>
    <w:rsid w:val="005A3DA9"/>
    <w:rsid w:val="005A516D"/>
    <w:rsid w:val="005A5415"/>
    <w:rsid w:val="005A6AC4"/>
    <w:rsid w:val="005A738C"/>
    <w:rsid w:val="005B02D8"/>
    <w:rsid w:val="005B053B"/>
    <w:rsid w:val="005B094F"/>
    <w:rsid w:val="005B0ECE"/>
    <w:rsid w:val="005B1558"/>
    <w:rsid w:val="005B1E4A"/>
    <w:rsid w:val="005B28F8"/>
    <w:rsid w:val="005B3839"/>
    <w:rsid w:val="005B4C3B"/>
    <w:rsid w:val="005B530C"/>
    <w:rsid w:val="005B6A10"/>
    <w:rsid w:val="005B6E0B"/>
    <w:rsid w:val="005B7986"/>
    <w:rsid w:val="005B7C9A"/>
    <w:rsid w:val="005C0052"/>
    <w:rsid w:val="005C0E71"/>
    <w:rsid w:val="005C1626"/>
    <w:rsid w:val="005C25BF"/>
    <w:rsid w:val="005C3547"/>
    <w:rsid w:val="005C35E9"/>
    <w:rsid w:val="005C3828"/>
    <w:rsid w:val="005C4801"/>
    <w:rsid w:val="005C4AE1"/>
    <w:rsid w:val="005C50C6"/>
    <w:rsid w:val="005C51C2"/>
    <w:rsid w:val="005C557A"/>
    <w:rsid w:val="005C573F"/>
    <w:rsid w:val="005C5B84"/>
    <w:rsid w:val="005C5F52"/>
    <w:rsid w:val="005C673B"/>
    <w:rsid w:val="005C724C"/>
    <w:rsid w:val="005C76E1"/>
    <w:rsid w:val="005C7B85"/>
    <w:rsid w:val="005D02DA"/>
    <w:rsid w:val="005D202F"/>
    <w:rsid w:val="005D291B"/>
    <w:rsid w:val="005D318D"/>
    <w:rsid w:val="005D3F96"/>
    <w:rsid w:val="005D4077"/>
    <w:rsid w:val="005D4897"/>
    <w:rsid w:val="005D5059"/>
    <w:rsid w:val="005D5E20"/>
    <w:rsid w:val="005D63E7"/>
    <w:rsid w:val="005D65F5"/>
    <w:rsid w:val="005D6783"/>
    <w:rsid w:val="005D6A70"/>
    <w:rsid w:val="005D733D"/>
    <w:rsid w:val="005D74B4"/>
    <w:rsid w:val="005D750F"/>
    <w:rsid w:val="005E0157"/>
    <w:rsid w:val="005E01A5"/>
    <w:rsid w:val="005E0395"/>
    <w:rsid w:val="005E0FE0"/>
    <w:rsid w:val="005E1230"/>
    <w:rsid w:val="005E142E"/>
    <w:rsid w:val="005E16A6"/>
    <w:rsid w:val="005E20BB"/>
    <w:rsid w:val="005E2E3C"/>
    <w:rsid w:val="005E33A2"/>
    <w:rsid w:val="005E3508"/>
    <w:rsid w:val="005E3AB5"/>
    <w:rsid w:val="005E3BEE"/>
    <w:rsid w:val="005E3CAD"/>
    <w:rsid w:val="005E43F1"/>
    <w:rsid w:val="005E44C5"/>
    <w:rsid w:val="005E4C0F"/>
    <w:rsid w:val="005E4E9A"/>
    <w:rsid w:val="005E4F42"/>
    <w:rsid w:val="005E5122"/>
    <w:rsid w:val="005E5CF6"/>
    <w:rsid w:val="005E5DF7"/>
    <w:rsid w:val="005E659C"/>
    <w:rsid w:val="005E65C4"/>
    <w:rsid w:val="005E6EFE"/>
    <w:rsid w:val="005E7157"/>
    <w:rsid w:val="005E72F2"/>
    <w:rsid w:val="005E76D1"/>
    <w:rsid w:val="005E7AD8"/>
    <w:rsid w:val="005E7B1C"/>
    <w:rsid w:val="005E7BC7"/>
    <w:rsid w:val="005F007E"/>
    <w:rsid w:val="005F07E1"/>
    <w:rsid w:val="005F0CE9"/>
    <w:rsid w:val="005F0E44"/>
    <w:rsid w:val="005F11CB"/>
    <w:rsid w:val="005F1B5E"/>
    <w:rsid w:val="005F259D"/>
    <w:rsid w:val="005F2758"/>
    <w:rsid w:val="005F2C6D"/>
    <w:rsid w:val="005F3397"/>
    <w:rsid w:val="005F366E"/>
    <w:rsid w:val="005F5481"/>
    <w:rsid w:val="005F63E1"/>
    <w:rsid w:val="005F6D04"/>
    <w:rsid w:val="005F7018"/>
    <w:rsid w:val="005F76DA"/>
    <w:rsid w:val="005F7AE7"/>
    <w:rsid w:val="005F7D99"/>
    <w:rsid w:val="005F7FCE"/>
    <w:rsid w:val="00600116"/>
    <w:rsid w:val="006005FE"/>
    <w:rsid w:val="00600F2E"/>
    <w:rsid w:val="006010B8"/>
    <w:rsid w:val="00602A37"/>
    <w:rsid w:val="00602ED4"/>
    <w:rsid w:val="00603E05"/>
    <w:rsid w:val="006040BF"/>
    <w:rsid w:val="006042EA"/>
    <w:rsid w:val="00604ACF"/>
    <w:rsid w:val="00604D49"/>
    <w:rsid w:val="00604E4C"/>
    <w:rsid w:val="00604E5A"/>
    <w:rsid w:val="00604F1A"/>
    <w:rsid w:val="0060521F"/>
    <w:rsid w:val="006056FC"/>
    <w:rsid w:val="006058AB"/>
    <w:rsid w:val="00605FF4"/>
    <w:rsid w:val="006061F8"/>
    <w:rsid w:val="00606323"/>
    <w:rsid w:val="00606626"/>
    <w:rsid w:val="006066C0"/>
    <w:rsid w:val="00607DD6"/>
    <w:rsid w:val="006109AA"/>
    <w:rsid w:val="00610C4C"/>
    <w:rsid w:val="006111AA"/>
    <w:rsid w:val="006114EA"/>
    <w:rsid w:val="00611B6C"/>
    <w:rsid w:val="00611BBD"/>
    <w:rsid w:val="006136F2"/>
    <w:rsid w:val="0061382E"/>
    <w:rsid w:val="00613886"/>
    <w:rsid w:val="006140BE"/>
    <w:rsid w:val="006141F8"/>
    <w:rsid w:val="006147C6"/>
    <w:rsid w:val="00614886"/>
    <w:rsid w:val="00614B35"/>
    <w:rsid w:val="00614E97"/>
    <w:rsid w:val="006151B0"/>
    <w:rsid w:val="0061545C"/>
    <w:rsid w:val="00615DBB"/>
    <w:rsid w:val="00617637"/>
    <w:rsid w:val="006177B8"/>
    <w:rsid w:val="0061799C"/>
    <w:rsid w:val="00617C01"/>
    <w:rsid w:val="00617D8A"/>
    <w:rsid w:val="00617F1D"/>
    <w:rsid w:val="00620FE8"/>
    <w:rsid w:val="00621363"/>
    <w:rsid w:val="00621908"/>
    <w:rsid w:val="00621CCC"/>
    <w:rsid w:val="00621D49"/>
    <w:rsid w:val="006220F6"/>
    <w:rsid w:val="00622555"/>
    <w:rsid w:val="00622925"/>
    <w:rsid w:val="00622BD9"/>
    <w:rsid w:val="006238E7"/>
    <w:rsid w:val="006239EA"/>
    <w:rsid w:val="00624461"/>
    <w:rsid w:val="0062466C"/>
    <w:rsid w:val="00625181"/>
    <w:rsid w:val="00626288"/>
    <w:rsid w:val="00627528"/>
    <w:rsid w:val="006276D4"/>
    <w:rsid w:val="00627932"/>
    <w:rsid w:val="00627A6C"/>
    <w:rsid w:val="00627D36"/>
    <w:rsid w:val="00627D87"/>
    <w:rsid w:val="00630CA2"/>
    <w:rsid w:val="00631A8C"/>
    <w:rsid w:val="006322BC"/>
    <w:rsid w:val="00634489"/>
    <w:rsid w:val="00634D19"/>
    <w:rsid w:val="006373DD"/>
    <w:rsid w:val="00640037"/>
    <w:rsid w:val="006405D9"/>
    <w:rsid w:val="006409F0"/>
    <w:rsid w:val="00641414"/>
    <w:rsid w:val="00641F9F"/>
    <w:rsid w:val="00642951"/>
    <w:rsid w:val="00642C69"/>
    <w:rsid w:val="00642E26"/>
    <w:rsid w:val="00643632"/>
    <w:rsid w:val="00643C4B"/>
    <w:rsid w:val="00643DB9"/>
    <w:rsid w:val="00644292"/>
    <w:rsid w:val="00644524"/>
    <w:rsid w:val="00644BC1"/>
    <w:rsid w:val="0064502D"/>
    <w:rsid w:val="006453A9"/>
    <w:rsid w:val="00646160"/>
    <w:rsid w:val="0064661D"/>
    <w:rsid w:val="00646C6E"/>
    <w:rsid w:val="00646E35"/>
    <w:rsid w:val="00646E5A"/>
    <w:rsid w:val="006474E5"/>
    <w:rsid w:val="00647B40"/>
    <w:rsid w:val="00650314"/>
    <w:rsid w:val="0065099D"/>
    <w:rsid w:val="00650B43"/>
    <w:rsid w:val="00650DA8"/>
    <w:rsid w:val="006517ED"/>
    <w:rsid w:val="00651A55"/>
    <w:rsid w:val="00651B62"/>
    <w:rsid w:val="00651ED8"/>
    <w:rsid w:val="006527FF"/>
    <w:rsid w:val="006529D0"/>
    <w:rsid w:val="006529F1"/>
    <w:rsid w:val="00652F23"/>
    <w:rsid w:val="0065386F"/>
    <w:rsid w:val="00653938"/>
    <w:rsid w:val="00653A80"/>
    <w:rsid w:val="00653B88"/>
    <w:rsid w:val="0065402F"/>
    <w:rsid w:val="00654C27"/>
    <w:rsid w:val="00654EF1"/>
    <w:rsid w:val="00655188"/>
    <w:rsid w:val="00655680"/>
    <w:rsid w:val="00655C0C"/>
    <w:rsid w:val="00655C24"/>
    <w:rsid w:val="00656424"/>
    <w:rsid w:val="00656777"/>
    <w:rsid w:val="0065736C"/>
    <w:rsid w:val="00657661"/>
    <w:rsid w:val="0066004B"/>
    <w:rsid w:val="0066026B"/>
    <w:rsid w:val="0066059F"/>
    <w:rsid w:val="00660758"/>
    <w:rsid w:val="006607C5"/>
    <w:rsid w:val="00661537"/>
    <w:rsid w:val="00661677"/>
    <w:rsid w:val="006618F3"/>
    <w:rsid w:val="0066209F"/>
    <w:rsid w:val="006621E1"/>
    <w:rsid w:val="00662DA8"/>
    <w:rsid w:val="006646A8"/>
    <w:rsid w:val="00664B4D"/>
    <w:rsid w:val="0066507D"/>
    <w:rsid w:val="00665138"/>
    <w:rsid w:val="00665380"/>
    <w:rsid w:val="0066539E"/>
    <w:rsid w:val="00665B38"/>
    <w:rsid w:val="00665DE0"/>
    <w:rsid w:val="00665F4E"/>
    <w:rsid w:val="00665F6C"/>
    <w:rsid w:val="006660CA"/>
    <w:rsid w:val="0066616A"/>
    <w:rsid w:val="00666728"/>
    <w:rsid w:val="00667115"/>
    <w:rsid w:val="006674A0"/>
    <w:rsid w:val="0067018A"/>
    <w:rsid w:val="00670761"/>
    <w:rsid w:val="006707BA"/>
    <w:rsid w:val="006709C0"/>
    <w:rsid w:val="006713A5"/>
    <w:rsid w:val="0067146D"/>
    <w:rsid w:val="00671601"/>
    <w:rsid w:val="0067178E"/>
    <w:rsid w:val="00671DD1"/>
    <w:rsid w:val="0067240A"/>
    <w:rsid w:val="006724EB"/>
    <w:rsid w:val="00672AF0"/>
    <w:rsid w:val="0067301A"/>
    <w:rsid w:val="00673039"/>
    <w:rsid w:val="0067318A"/>
    <w:rsid w:val="00673ABF"/>
    <w:rsid w:val="00673D29"/>
    <w:rsid w:val="00674A47"/>
    <w:rsid w:val="00674D02"/>
    <w:rsid w:val="00675075"/>
    <w:rsid w:val="00675B02"/>
    <w:rsid w:val="00675CF9"/>
    <w:rsid w:val="00675EAB"/>
    <w:rsid w:val="00676DB6"/>
    <w:rsid w:val="006773CD"/>
    <w:rsid w:val="006774F5"/>
    <w:rsid w:val="006776CE"/>
    <w:rsid w:val="006778EA"/>
    <w:rsid w:val="00677D35"/>
    <w:rsid w:val="00681189"/>
    <w:rsid w:val="006820CC"/>
    <w:rsid w:val="0068210A"/>
    <w:rsid w:val="0068295A"/>
    <w:rsid w:val="00685AB5"/>
    <w:rsid w:val="00686B7F"/>
    <w:rsid w:val="00687894"/>
    <w:rsid w:val="00690299"/>
    <w:rsid w:val="0069033E"/>
    <w:rsid w:val="00690C34"/>
    <w:rsid w:val="00691360"/>
    <w:rsid w:val="00691BE0"/>
    <w:rsid w:val="00691CC8"/>
    <w:rsid w:val="00692303"/>
    <w:rsid w:val="006923CD"/>
    <w:rsid w:val="006928DA"/>
    <w:rsid w:val="00692921"/>
    <w:rsid w:val="00692F29"/>
    <w:rsid w:val="0069345C"/>
    <w:rsid w:val="00694392"/>
    <w:rsid w:val="006950AD"/>
    <w:rsid w:val="006955BF"/>
    <w:rsid w:val="00695702"/>
    <w:rsid w:val="00695F6B"/>
    <w:rsid w:val="00697C6D"/>
    <w:rsid w:val="006A036B"/>
    <w:rsid w:val="006A135F"/>
    <w:rsid w:val="006A2844"/>
    <w:rsid w:val="006A30D9"/>
    <w:rsid w:val="006A3547"/>
    <w:rsid w:val="006A3672"/>
    <w:rsid w:val="006A3D5F"/>
    <w:rsid w:val="006A411C"/>
    <w:rsid w:val="006A4442"/>
    <w:rsid w:val="006A4BDE"/>
    <w:rsid w:val="006A4D18"/>
    <w:rsid w:val="006A4D90"/>
    <w:rsid w:val="006A51D2"/>
    <w:rsid w:val="006A53D2"/>
    <w:rsid w:val="006A70AA"/>
    <w:rsid w:val="006A7190"/>
    <w:rsid w:val="006A79BD"/>
    <w:rsid w:val="006A7A93"/>
    <w:rsid w:val="006B0735"/>
    <w:rsid w:val="006B0836"/>
    <w:rsid w:val="006B123D"/>
    <w:rsid w:val="006B1999"/>
    <w:rsid w:val="006B2CA5"/>
    <w:rsid w:val="006B31EB"/>
    <w:rsid w:val="006B3736"/>
    <w:rsid w:val="006B3903"/>
    <w:rsid w:val="006B399C"/>
    <w:rsid w:val="006B3D0E"/>
    <w:rsid w:val="006B413D"/>
    <w:rsid w:val="006B49B3"/>
    <w:rsid w:val="006B512D"/>
    <w:rsid w:val="006B57E7"/>
    <w:rsid w:val="006B5B2A"/>
    <w:rsid w:val="006B6346"/>
    <w:rsid w:val="006B6B91"/>
    <w:rsid w:val="006B7069"/>
    <w:rsid w:val="006B773C"/>
    <w:rsid w:val="006B7BF8"/>
    <w:rsid w:val="006B7DDA"/>
    <w:rsid w:val="006C003D"/>
    <w:rsid w:val="006C1AE3"/>
    <w:rsid w:val="006C2FD7"/>
    <w:rsid w:val="006C3005"/>
    <w:rsid w:val="006C306B"/>
    <w:rsid w:val="006C312B"/>
    <w:rsid w:val="006C3343"/>
    <w:rsid w:val="006C3983"/>
    <w:rsid w:val="006C4575"/>
    <w:rsid w:val="006C474D"/>
    <w:rsid w:val="006C47E8"/>
    <w:rsid w:val="006C4808"/>
    <w:rsid w:val="006C480D"/>
    <w:rsid w:val="006C4834"/>
    <w:rsid w:val="006C4C38"/>
    <w:rsid w:val="006C54E8"/>
    <w:rsid w:val="006C5B25"/>
    <w:rsid w:val="006C5C86"/>
    <w:rsid w:val="006C5FF5"/>
    <w:rsid w:val="006C678F"/>
    <w:rsid w:val="006C7BE0"/>
    <w:rsid w:val="006D0392"/>
    <w:rsid w:val="006D07E6"/>
    <w:rsid w:val="006D09E1"/>
    <w:rsid w:val="006D10ED"/>
    <w:rsid w:val="006D1262"/>
    <w:rsid w:val="006D1BC2"/>
    <w:rsid w:val="006D1C37"/>
    <w:rsid w:val="006D1D66"/>
    <w:rsid w:val="006D214C"/>
    <w:rsid w:val="006D3D81"/>
    <w:rsid w:val="006D3E86"/>
    <w:rsid w:val="006D3F5F"/>
    <w:rsid w:val="006D405A"/>
    <w:rsid w:val="006D4503"/>
    <w:rsid w:val="006D4525"/>
    <w:rsid w:val="006D45DE"/>
    <w:rsid w:val="006D509F"/>
    <w:rsid w:val="006D5651"/>
    <w:rsid w:val="006D5CDC"/>
    <w:rsid w:val="006D5F83"/>
    <w:rsid w:val="006D67DB"/>
    <w:rsid w:val="006D6F77"/>
    <w:rsid w:val="006D7005"/>
    <w:rsid w:val="006D70DC"/>
    <w:rsid w:val="006D7BA7"/>
    <w:rsid w:val="006D7ED7"/>
    <w:rsid w:val="006E00CF"/>
    <w:rsid w:val="006E06AE"/>
    <w:rsid w:val="006E0859"/>
    <w:rsid w:val="006E1270"/>
    <w:rsid w:val="006E1950"/>
    <w:rsid w:val="006E1967"/>
    <w:rsid w:val="006E1982"/>
    <w:rsid w:val="006E1FE0"/>
    <w:rsid w:val="006E2A07"/>
    <w:rsid w:val="006E2AE6"/>
    <w:rsid w:val="006E2E81"/>
    <w:rsid w:val="006E3137"/>
    <w:rsid w:val="006E3162"/>
    <w:rsid w:val="006E3543"/>
    <w:rsid w:val="006E48CF"/>
    <w:rsid w:val="006E5201"/>
    <w:rsid w:val="006E622F"/>
    <w:rsid w:val="006E644C"/>
    <w:rsid w:val="006E725A"/>
    <w:rsid w:val="006E78AC"/>
    <w:rsid w:val="006E7F1B"/>
    <w:rsid w:val="006F0679"/>
    <w:rsid w:val="006F071D"/>
    <w:rsid w:val="006F0DD9"/>
    <w:rsid w:val="006F0EFE"/>
    <w:rsid w:val="006F210F"/>
    <w:rsid w:val="006F2356"/>
    <w:rsid w:val="006F26B5"/>
    <w:rsid w:val="006F2CCC"/>
    <w:rsid w:val="006F3253"/>
    <w:rsid w:val="006F425F"/>
    <w:rsid w:val="006F4395"/>
    <w:rsid w:val="006F4B18"/>
    <w:rsid w:val="006F62F2"/>
    <w:rsid w:val="006F63D2"/>
    <w:rsid w:val="006F65A2"/>
    <w:rsid w:val="006F6A41"/>
    <w:rsid w:val="006F76CE"/>
    <w:rsid w:val="006F7FB6"/>
    <w:rsid w:val="0070055B"/>
    <w:rsid w:val="0070064B"/>
    <w:rsid w:val="00700EC9"/>
    <w:rsid w:val="00701012"/>
    <w:rsid w:val="007014AB"/>
    <w:rsid w:val="007017C6"/>
    <w:rsid w:val="00701DD6"/>
    <w:rsid w:val="00702733"/>
    <w:rsid w:val="00703028"/>
    <w:rsid w:val="0070325A"/>
    <w:rsid w:val="0070417A"/>
    <w:rsid w:val="0070455B"/>
    <w:rsid w:val="00704805"/>
    <w:rsid w:val="00705F82"/>
    <w:rsid w:val="00706B69"/>
    <w:rsid w:val="00706C30"/>
    <w:rsid w:val="00706D3D"/>
    <w:rsid w:val="00707F74"/>
    <w:rsid w:val="0071015B"/>
    <w:rsid w:val="00710D06"/>
    <w:rsid w:val="00710FF4"/>
    <w:rsid w:val="00711002"/>
    <w:rsid w:val="00711E55"/>
    <w:rsid w:val="007120D0"/>
    <w:rsid w:val="00712936"/>
    <w:rsid w:val="00712EA1"/>
    <w:rsid w:val="00713606"/>
    <w:rsid w:val="007139B4"/>
    <w:rsid w:val="00713AE4"/>
    <w:rsid w:val="00713E5E"/>
    <w:rsid w:val="00714AFD"/>
    <w:rsid w:val="00715314"/>
    <w:rsid w:val="00715C32"/>
    <w:rsid w:val="007165FF"/>
    <w:rsid w:val="00716789"/>
    <w:rsid w:val="00717666"/>
    <w:rsid w:val="00717F40"/>
    <w:rsid w:val="00720004"/>
    <w:rsid w:val="00720468"/>
    <w:rsid w:val="00720816"/>
    <w:rsid w:val="00720975"/>
    <w:rsid w:val="00721945"/>
    <w:rsid w:val="00722406"/>
    <w:rsid w:val="00722D13"/>
    <w:rsid w:val="00723E14"/>
    <w:rsid w:val="00723E4D"/>
    <w:rsid w:val="0072421B"/>
    <w:rsid w:val="00725048"/>
    <w:rsid w:val="007250D0"/>
    <w:rsid w:val="00725582"/>
    <w:rsid w:val="0072584B"/>
    <w:rsid w:val="0072590A"/>
    <w:rsid w:val="007259B5"/>
    <w:rsid w:val="00725A5F"/>
    <w:rsid w:val="00726168"/>
    <w:rsid w:val="00726A20"/>
    <w:rsid w:val="0072712E"/>
    <w:rsid w:val="00727856"/>
    <w:rsid w:val="00730685"/>
    <w:rsid w:val="00730A62"/>
    <w:rsid w:val="00730F92"/>
    <w:rsid w:val="007325E5"/>
    <w:rsid w:val="00732838"/>
    <w:rsid w:val="00732E05"/>
    <w:rsid w:val="00732F95"/>
    <w:rsid w:val="00733850"/>
    <w:rsid w:val="00733972"/>
    <w:rsid w:val="007343D3"/>
    <w:rsid w:val="007348B2"/>
    <w:rsid w:val="00734944"/>
    <w:rsid w:val="00734995"/>
    <w:rsid w:val="00734B77"/>
    <w:rsid w:val="00735304"/>
    <w:rsid w:val="00735FDB"/>
    <w:rsid w:val="00736D77"/>
    <w:rsid w:val="00736ECE"/>
    <w:rsid w:val="00737109"/>
    <w:rsid w:val="00737A26"/>
    <w:rsid w:val="00737AF3"/>
    <w:rsid w:val="00740A88"/>
    <w:rsid w:val="007410B7"/>
    <w:rsid w:val="007416B1"/>
    <w:rsid w:val="00741AF9"/>
    <w:rsid w:val="00741C58"/>
    <w:rsid w:val="0074248E"/>
    <w:rsid w:val="00743769"/>
    <w:rsid w:val="00743AAE"/>
    <w:rsid w:val="00743C37"/>
    <w:rsid w:val="00743E1F"/>
    <w:rsid w:val="007442D0"/>
    <w:rsid w:val="00744B42"/>
    <w:rsid w:val="00744D2C"/>
    <w:rsid w:val="00744E0B"/>
    <w:rsid w:val="00744E83"/>
    <w:rsid w:val="00745605"/>
    <w:rsid w:val="007458FC"/>
    <w:rsid w:val="00746A94"/>
    <w:rsid w:val="00746B2E"/>
    <w:rsid w:val="00746B38"/>
    <w:rsid w:val="00746D68"/>
    <w:rsid w:val="00746EC9"/>
    <w:rsid w:val="00746EDB"/>
    <w:rsid w:val="0074765C"/>
    <w:rsid w:val="00747715"/>
    <w:rsid w:val="00750C01"/>
    <w:rsid w:val="007518D6"/>
    <w:rsid w:val="007519B4"/>
    <w:rsid w:val="00751F39"/>
    <w:rsid w:val="0075201D"/>
    <w:rsid w:val="007520F6"/>
    <w:rsid w:val="0075228C"/>
    <w:rsid w:val="0075285F"/>
    <w:rsid w:val="00753299"/>
    <w:rsid w:val="00753807"/>
    <w:rsid w:val="007539EA"/>
    <w:rsid w:val="00753EC0"/>
    <w:rsid w:val="00754434"/>
    <w:rsid w:val="00755C16"/>
    <w:rsid w:val="00755C6A"/>
    <w:rsid w:val="00755D7C"/>
    <w:rsid w:val="00756D63"/>
    <w:rsid w:val="00756E11"/>
    <w:rsid w:val="0075780B"/>
    <w:rsid w:val="00757A6A"/>
    <w:rsid w:val="00757AD9"/>
    <w:rsid w:val="00757E77"/>
    <w:rsid w:val="00760195"/>
    <w:rsid w:val="00761124"/>
    <w:rsid w:val="00761372"/>
    <w:rsid w:val="007623EC"/>
    <w:rsid w:val="0076250A"/>
    <w:rsid w:val="007629BE"/>
    <w:rsid w:val="00762FD8"/>
    <w:rsid w:val="007639EB"/>
    <w:rsid w:val="00763E71"/>
    <w:rsid w:val="00763FA1"/>
    <w:rsid w:val="00764725"/>
    <w:rsid w:val="00766876"/>
    <w:rsid w:val="00766C2C"/>
    <w:rsid w:val="00766E62"/>
    <w:rsid w:val="007676FE"/>
    <w:rsid w:val="007704AC"/>
    <w:rsid w:val="00770564"/>
    <w:rsid w:val="00770569"/>
    <w:rsid w:val="00770618"/>
    <w:rsid w:val="00770C76"/>
    <w:rsid w:val="00770F4A"/>
    <w:rsid w:val="00771894"/>
    <w:rsid w:val="00771A39"/>
    <w:rsid w:val="00772441"/>
    <w:rsid w:val="007725B4"/>
    <w:rsid w:val="00772A8C"/>
    <w:rsid w:val="00772D87"/>
    <w:rsid w:val="0077327E"/>
    <w:rsid w:val="0077375C"/>
    <w:rsid w:val="00773F0E"/>
    <w:rsid w:val="00773FB5"/>
    <w:rsid w:val="0077429A"/>
    <w:rsid w:val="007747F8"/>
    <w:rsid w:val="00774D61"/>
    <w:rsid w:val="00775CBA"/>
    <w:rsid w:val="00776AE8"/>
    <w:rsid w:val="00776BAC"/>
    <w:rsid w:val="00776D24"/>
    <w:rsid w:val="00777783"/>
    <w:rsid w:val="00777905"/>
    <w:rsid w:val="00777B40"/>
    <w:rsid w:val="00777FFD"/>
    <w:rsid w:val="00780158"/>
    <w:rsid w:val="007802C5"/>
    <w:rsid w:val="00780F0E"/>
    <w:rsid w:val="00781676"/>
    <w:rsid w:val="007826FF"/>
    <w:rsid w:val="007828A7"/>
    <w:rsid w:val="00782E12"/>
    <w:rsid w:val="0078313F"/>
    <w:rsid w:val="007843FE"/>
    <w:rsid w:val="007844EA"/>
    <w:rsid w:val="00784A6D"/>
    <w:rsid w:val="00784A96"/>
    <w:rsid w:val="00784BC9"/>
    <w:rsid w:val="0078528B"/>
    <w:rsid w:val="0078564E"/>
    <w:rsid w:val="00785BAF"/>
    <w:rsid w:val="00785D29"/>
    <w:rsid w:val="00785EC2"/>
    <w:rsid w:val="00786F7C"/>
    <w:rsid w:val="00786FCF"/>
    <w:rsid w:val="00787626"/>
    <w:rsid w:val="0078778B"/>
    <w:rsid w:val="0079038A"/>
    <w:rsid w:val="00790924"/>
    <w:rsid w:val="00791272"/>
    <w:rsid w:val="0079194F"/>
    <w:rsid w:val="00792129"/>
    <w:rsid w:val="00792B2D"/>
    <w:rsid w:val="00793F70"/>
    <w:rsid w:val="007955CC"/>
    <w:rsid w:val="0079585F"/>
    <w:rsid w:val="00795AAC"/>
    <w:rsid w:val="00796757"/>
    <w:rsid w:val="007971F5"/>
    <w:rsid w:val="00797778"/>
    <w:rsid w:val="007979DE"/>
    <w:rsid w:val="00797FEC"/>
    <w:rsid w:val="007A00F8"/>
    <w:rsid w:val="007A1F0B"/>
    <w:rsid w:val="007A390A"/>
    <w:rsid w:val="007A390C"/>
    <w:rsid w:val="007A4116"/>
    <w:rsid w:val="007A441D"/>
    <w:rsid w:val="007A44C8"/>
    <w:rsid w:val="007A4F40"/>
    <w:rsid w:val="007A52E7"/>
    <w:rsid w:val="007A5353"/>
    <w:rsid w:val="007A5955"/>
    <w:rsid w:val="007A59B7"/>
    <w:rsid w:val="007A6C88"/>
    <w:rsid w:val="007A72F9"/>
    <w:rsid w:val="007A736B"/>
    <w:rsid w:val="007A7374"/>
    <w:rsid w:val="007B0741"/>
    <w:rsid w:val="007B0B6B"/>
    <w:rsid w:val="007B1A39"/>
    <w:rsid w:val="007B232C"/>
    <w:rsid w:val="007B29BA"/>
    <w:rsid w:val="007B3C1F"/>
    <w:rsid w:val="007B405F"/>
    <w:rsid w:val="007B4899"/>
    <w:rsid w:val="007B4AED"/>
    <w:rsid w:val="007B5937"/>
    <w:rsid w:val="007B5A1C"/>
    <w:rsid w:val="007B5FDA"/>
    <w:rsid w:val="007B6E18"/>
    <w:rsid w:val="007B71CE"/>
    <w:rsid w:val="007B76C2"/>
    <w:rsid w:val="007B77BC"/>
    <w:rsid w:val="007B7A96"/>
    <w:rsid w:val="007C0451"/>
    <w:rsid w:val="007C0CEC"/>
    <w:rsid w:val="007C118B"/>
    <w:rsid w:val="007C17B4"/>
    <w:rsid w:val="007C239C"/>
    <w:rsid w:val="007C29C5"/>
    <w:rsid w:val="007C32D5"/>
    <w:rsid w:val="007C3676"/>
    <w:rsid w:val="007C370B"/>
    <w:rsid w:val="007C38B5"/>
    <w:rsid w:val="007C38F0"/>
    <w:rsid w:val="007C3974"/>
    <w:rsid w:val="007C3E37"/>
    <w:rsid w:val="007C3E99"/>
    <w:rsid w:val="007C4CA9"/>
    <w:rsid w:val="007C50BA"/>
    <w:rsid w:val="007C5CF3"/>
    <w:rsid w:val="007C60E5"/>
    <w:rsid w:val="007C61A9"/>
    <w:rsid w:val="007C644B"/>
    <w:rsid w:val="007C6FF3"/>
    <w:rsid w:val="007C7A28"/>
    <w:rsid w:val="007D0BF5"/>
    <w:rsid w:val="007D109C"/>
    <w:rsid w:val="007D173B"/>
    <w:rsid w:val="007D198C"/>
    <w:rsid w:val="007D1BE8"/>
    <w:rsid w:val="007D37F9"/>
    <w:rsid w:val="007D3CE9"/>
    <w:rsid w:val="007D5A0C"/>
    <w:rsid w:val="007D5C27"/>
    <w:rsid w:val="007D66D1"/>
    <w:rsid w:val="007D698B"/>
    <w:rsid w:val="007D75C5"/>
    <w:rsid w:val="007D7876"/>
    <w:rsid w:val="007D7DFE"/>
    <w:rsid w:val="007E041E"/>
    <w:rsid w:val="007E0854"/>
    <w:rsid w:val="007E1B62"/>
    <w:rsid w:val="007E1CEE"/>
    <w:rsid w:val="007E21AD"/>
    <w:rsid w:val="007E225E"/>
    <w:rsid w:val="007E2595"/>
    <w:rsid w:val="007E289B"/>
    <w:rsid w:val="007E2A8C"/>
    <w:rsid w:val="007E2F58"/>
    <w:rsid w:val="007E329F"/>
    <w:rsid w:val="007E32FD"/>
    <w:rsid w:val="007E38D3"/>
    <w:rsid w:val="007E3BB1"/>
    <w:rsid w:val="007E3DA0"/>
    <w:rsid w:val="007E463B"/>
    <w:rsid w:val="007E5434"/>
    <w:rsid w:val="007E5708"/>
    <w:rsid w:val="007E6998"/>
    <w:rsid w:val="007E6EAA"/>
    <w:rsid w:val="007F03C2"/>
    <w:rsid w:val="007F0BFD"/>
    <w:rsid w:val="007F0D24"/>
    <w:rsid w:val="007F0F18"/>
    <w:rsid w:val="007F1854"/>
    <w:rsid w:val="007F2708"/>
    <w:rsid w:val="007F27D3"/>
    <w:rsid w:val="007F2A69"/>
    <w:rsid w:val="007F334A"/>
    <w:rsid w:val="007F3386"/>
    <w:rsid w:val="007F3428"/>
    <w:rsid w:val="007F4507"/>
    <w:rsid w:val="007F49C6"/>
    <w:rsid w:val="007F4FCF"/>
    <w:rsid w:val="007F547F"/>
    <w:rsid w:val="007F5A02"/>
    <w:rsid w:val="007F5D03"/>
    <w:rsid w:val="007F6245"/>
    <w:rsid w:val="007F6A26"/>
    <w:rsid w:val="007F6C31"/>
    <w:rsid w:val="007F7C82"/>
    <w:rsid w:val="008007A6"/>
    <w:rsid w:val="00801673"/>
    <w:rsid w:val="00802373"/>
    <w:rsid w:val="00802CAA"/>
    <w:rsid w:val="00802D58"/>
    <w:rsid w:val="00803AE3"/>
    <w:rsid w:val="0080460C"/>
    <w:rsid w:val="008046FD"/>
    <w:rsid w:val="008048D7"/>
    <w:rsid w:val="00804EBA"/>
    <w:rsid w:val="00804FDE"/>
    <w:rsid w:val="008051F4"/>
    <w:rsid w:val="008062A2"/>
    <w:rsid w:val="008078E7"/>
    <w:rsid w:val="00811331"/>
    <w:rsid w:val="00811B76"/>
    <w:rsid w:val="00811BD3"/>
    <w:rsid w:val="00812096"/>
    <w:rsid w:val="00813E0B"/>
    <w:rsid w:val="00814C9D"/>
    <w:rsid w:val="008159D7"/>
    <w:rsid w:val="00815A2A"/>
    <w:rsid w:val="00815CF2"/>
    <w:rsid w:val="0081600D"/>
    <w:rsid w:val="008169C3"/>
    <w:rsid w:val="008169E9"/>
    <w:rsid w:val="008170D3"/>
    <w:rsid w:val="00817D27"/>
    <w:rsid w:val="00820375"/>
    <w:rsid w:val="008210F4"/>
    <w:rsid w:val="00821622"/>
    <w:rsid w:val="00821D3F"/>
    <w:rsid w:val="00821FC9"/>
    <w:rsid w:val="00822E27"/>
    <w:rsid w:val="00823346"/>
    <w:rsid w:val="00823500"/>
    <w:rsid w:val="00823914"/>
    <w:rsid w:val="00823CF9"/>
    <w:rsid w:val="00823DD8"/>
    <w:rsid w:val="00823E62"/>
    <w:rsid w:val="0082443B"/>
    <w:rsid w:val="00824879"/>
    <w:rsid w:val="00824A76"/>
    <w:rsid w:val="00824B9D"/>
    <w:rsid w:val="00824D2F"/>
    <w:rsid w:val="00824DFF"/>
    <w:rsid w:val="008263D1"/>
    <w:rsid w:val="008266C1"/>
    <w:rsid w:val="00826BBA"/>
    <w:rsid w:val="00826BBD"/>
    <w:rsid w:val="008275E0"/>
    <w:rsid w:val="00827C8B"/>
    <w:rsid w:val="0083033A"/>
    <w:rsid w:val="00830E56"/>
    <w:rsid w:val="0083114D"/>
    <w:rsid w:val="008317A7"/>
    <w:rsid w:val="00831943"/>
    <w:rsid w:val="00831C4E"/>
    <w:rsid w:val="00831CF6"/>
    <w:rsid w:val="0083213A"/>
    <w:rsid w:val="00832872"/>
    <w:rsid w:val="0083287D"/>
    <w:rsid w:val="00832C1C"/>
    <w:rsid w:val="00833D48"/>
    <w:rsid w:val="008341E9"/>
    <w:rsid w:val="00834513"/>
    <w:rsid w:val="0083552C"/>
    <w:rsid w:val="008357DD"/>
    <w:rsid w:val="00835B60"/>
    <w:rsid w:val="00835DD8"/>
    <w:rsid w:val="0083603A"/>
    <w:rsid w:val="00836FE1"/>
    <w:rsid w:val="00837BF6"/>
    <w:rsid w:val="00840325"/>
    <w:rsid w:val="0084105B"/>
    <w:rsid w:val="0084259C"/>
    <w:rsid w:val="00842757"/>
    <w:rsid w:val="0084290A"/>
    <w:rsid w:val="0084363D"/>
    <w:rsid w:val="00843980"/>
    <w:rsid w:val="00843EF8"/>
    <w:rsid w:val="00844266"/>
    <w:rsid w:val="00844504"/>
    <w:rsid w:val="00844532"/>
    <w:rsid w:val="0084628A"/>
    <w:rsid w:val="008464BB"/>
    <w:rsid w:val="00846E3E"/>
    <w:rsid w:val="008470FD"/>
    <w:rsid w:val="00847F76"/>
    <w:rsid w:val="00850EF6"/>
    <w:rsid w:val="0085110F"/>
    <w:rsid w:val="0085176B"/>
    <w:rsid w:val="00851A9E"/>
    <w:rsid w:val="00852768"/>
    <w:rsid w:val="00852929"/>
    <w:rsid w:val="00853449"/>
    <w:rsid w:val="00853A3B"/>
    <w:rsid w:val="00853FA5"/>
    <w:rsid w:val="00854A72"/>
    <w:rsid w:val="00854F26"/>
    <w:rsid w:val="008557A5"/>
    <w:rsid w:val="00855B13"/>
    <w:rsid w:val="0085667D"/>
    <w:rsid w:val="00856AB8"/>
    <w:rsid w:val="008571E3"/>
    <w:rsid w:val="00860701"/>
    <w:rsid w:val="00860BC1"/>
    <w:rsid w:val="00861066"/>
    <w:rsid w:val="00861243"/>
    <w:rsid w:val="0086145F"/>
    <w:rsid w:val="008616FE"/>
    <w:rsid w:val="00862305"/>
    <w:rsid w:val="00862729"/>
    <w:rsid w:val="00862ABE"/>
    <w:rsid w:val="00862F68"/>
    <w:rsid w:val="00863130"/>
    <w:rsid w:val="008635C0"/>
    <w:rsid w:val="008639E5"/>
    <w:rsid w:val="0086410D"/>
    <w:rsid w:val="008643CB"/>
    <w:rsid w:val="00864553"/>
    <w:rsid w:val="00864880"/>
    <w:rsid w:val="00865102"/>
    <w:rsid w:val="008657F8"/>
    <w:rsid w:val="00865CD4"/>
    <w:rsid w:val="008662E5"/>
    <w:rsid w:val="00866530"/>
    <w:rsid w:val="008677E5"/>
    <w:rsid w:val="008701A3"/>
    <w:rsid w:val="008706C0"/>
    <w:rsid w:val="00870B29"/>
    <w:rsid w:val="00870E99"/>
    <w:rsid w:val="00871988"/>
    <w:rsid w:val="00871F47"/>
    <w:rsid w:val="00872088"/>
    <w:rsid w:val="008724D4"/>
    <w:rsid w:val="00872B75"/>
    <w:rsid w:val="008730D6"/>
    <w:rsid w:val="008736B0"/>
    <w:rsid w:val="00873899"/>
    <w:rsid w:val="008739B7"/>
    <w:rsid w:val="0087563E"/>
    <w:rsid w:val="00875DE8"/>
    <w:rsid w:val="008768F4"/>
    <w:rsid w:val="00877BAF"/>
    <w:rsid w:val="00877C2B"/>
    <w:rsid w:val="0088038A"/>
    <w:rsid w:val="00880829"/>
    <w:rsid w:val="008826C3"/>
    <w:rsid w:val="0088271B"/>
    <w:rsid w:val="00883631"/>
    <w:rsid w:val="008845A3"/>
    <w:rsid w:val="008846DC"/>
    <w:rsid w:val="00884824"/>
    <w:rsid w:val="008851A9"/>
    <w:rsid w:val="0088532A"/>
    <w:rsid w:val="0088557B"/>
    <w:rsid w:val="008855DE"/>
    <w:rsid w:val="008856BD"/>
    <w:rsid w:val="00886215"/>
    <w:rsid w:val="008867AB"/>
    <w:rsid w:val="00886839"/>
    <w:rsid w:val="00886A55"/>
    <w:rsid w:val="00891A2A"/>
    <w:rsid w:val="00891EE0"/>
    <w:rsid w:val="0089259E"/>
    <w:rsid w:val="00892AD8"/>
    <w:rsid w:val="00892B13"/>
    <w:rsid w:val="00892B8F"/>
    <w:rsid w:val="008932E1"/>
    <w:rsid w:val="00893309"/>
    <w:rsid w:val="00893B2B"/>
    <w:rsid w:val="00893BA7"/>
    <w:rsid w:val="0089404A"/>
    <w:rsid w:val="008940C6"/>
    <w:rsid w:val="00894BBE"/>
    <w:rsid w:val="00894DF4"/>
    <w:rsid w:val="0089585C"/>
    <w:rsid w:val="00895C43"/>
    <w:rsid w:val="00895D47"/>
    <w:rsid w:val="00895DDD"/>
    <w:rsid w:val="00896E8F"/>
    <w:rsid w:val="00896F83"/>
    <w:rsid w:val="0089762E"/>
    <w:rsid w:val="00897C43"/>
    <w:rsid w:val="008A015D"/>
    <w:rsid w:val="008A0A1A"/>
    <w:rsid w:val="008A0D0F"/>
    <w:rsid w:val="008A0F9E"/>
    <w:rsid w:val="008A1455"/>
    <w:rsid w:val="008A27A9"/>
    <w:rsid w:val="008A2858"/>
    <w:rsid w:val="008A2CCB"/>
    <w:rsid w:val="008A2EFD"/>
    <w:rsid w:val="008A510C"/>
    <w:rsid w:val="008A58E6"/>
    <w:rsid w:val="008A59E6"/>
    <w:rsid w:val="008A59E9"/>
    <w:rsid w:val="008A6115"/>
    <w:rsid w:val="008A6516"/>
    <w:rsid w:val="008A6722"/>
    <w:rsid w:val="008A69B3"/>
    <w:rsid w:val="008A6B56"/>
    <w:rsid w:val="008A7077"/>
    <w:rsid w:val="008A796E"/>
    <w:rsid w:val="008A79F0"/>
    <w:rsid w:val="008A7FC5"/>
    <w:rsid w:val="008B0890"/>
    <w:rsid w:val="008B2CDB"/>
    <w:rsid w:val="008B38B9"/>
    <w:rsid w:val="008B491C"/>
    <w:rsid w:val="008B4E1D"/>
    <w:rsid w:val="008B50D1"/>
    <w:rsid w:val="008B5275"/>
    <w:rsid w:val="008B5503"/>
    <w:rsid w:val="008B6474"/>
    <w:rsid w:val="008B6508"/>
    <w:rsid w:val="008B6B6C"/>
    <w:rsid w:val="008B6F55"/>
    <w:rsid w:val="008B7585"/>
    <w:rsid w:val="008B7ACF"/>
    <w:rsid w:val="008C08D4"/>
    <w:rsid w:val="008C1277"/>
    <w:rsid w:val="008C225D"/>
    <w:rsid w:val="008C24E1"/>
    <w:rsid w:val="008C2EA3"/>
    <w:rsid w:val="008C37B7"/>
    <w:rsid w:val="008C485D"/>
    <w:rsid w:val="008C5312"/>
    <w:rsid w:val="008C58D4"/>
    <w:rsid w:val="008C6909"/>
    <w:rsid w:val="008C69D8"/>
    <w:rsid w:val="008C6D2A"/>
    <w:rsid w:val="008C734B"/>
    <w:rsid w:val="008D028B"/>
    <w:rsid w:val="008D04B7"/>
    <w:rsid w:val="008D06D2"/>
    <w:rsid w:val="008D0804"/>
    <w:rsid w:val="008D0861"/>
    <w:rsid w:val="008D094B"/>
    <w:rsid w:val="008D0B12"/>
    <w:rsid w:val="008D0CC9"/>
    <w:rsid w:val="008D0D4E"/>
    <w:rsid w:val="008D0EF5"/>
    <w:rsid w:val="008D1E1E"/>
    <w:rsid w:val="008D2939"/>
    <w:rsid w:val="008D2BA7"/>
    <w:rsid w:val="008D323B"/>
    <w:rsid w:val="008D356B"/>
    <w:rsid w:val="008D3DF0"/>
    <w:rsid w:val="008D4277"/>
    <w:rsid w:val="008D4EEF"/>
    <w:rsid w:val="008D500F"/>
    <w:rsid w:val="008D568F"/>
    <w:rsid w:val="008D5F2F"/>
    <w:rsid w:val="008D67E9"/>
    <w:rsid w:val="008D67F1"/>
    <w:rsid w:val="008D6A83"/>
    <w:rsid w:val="008D6D52"/>
    <w:rsid w:val="008D79A1"/>
    <w:rsid w:val="008E02DC"/>
    <w:rsid w:val="008E0438"/>
    <w:rsid w:val="008E0BE6"/>
    <w:rsid w:val="008E12CF"/>
    <w:rsid w:val="008E1308"/>
    <w:rsid w:val="008E234A"/>
    <w:rsid w:val="008E41B4"/>
    <w:rsid w:val="008E4761"/>
    <w:rsid w:val="008E48AE"/>
    <w:rsid w:val="008E49CE"/>
    <w:rsid w:val="008E50F9"/>
    <w:rsid w:val="008E5A2B"/>
    <w:rsid w:val="008E5E16"/>
    <w:rsid w:val="008E63D1"/>
    <w:rsid w:val="008E63DD"/>
    <w:rsid w:val="008E6BDB"/>
    <w:rsid w:val="008E7151"/>
    <w:rsid w:val="008E778A"/>
    <w:rsid w:val="008F0286"/>
    <w:rsid w:val="008F08A4"/>
    <w:rsid w:val="008F09E6"/>
    <w:rsid w:val="008F101A"/>
    <w:rsid w:val="008F1021"/>
    <w:rsid w:val="008F231F"/>
    <w:rsid w:val="008F3AC5"/>
    <w:rsid w:val="008F40CF"/>
    <w:rsid w:val="008F454B"/>
    <w:rsid w:val="008F484B"/>
    <w:rsid w:val="008F4A93"/>
    <w:rsid w:val="008F634B"/>
    <w:rsid w:val="008F6C06"/>
    <w:rsid w:val="008F6FD6"/>
    <w:rsid w:val="008F7760"/>
    <w:rsid w:val="008F7933"/>
    <w:rsid w:val="008F7D23"/>
    <w:rsid w:val="009001A3"/>
    <w:rsid w:val="00900BF5"/>
    <w:rsid w:val="009012B3"/>
    <w:rsid w:val="00901537"/>
    <w:rsid w:val="009016A1"/>
    <w:rsid w:val="00902CFC"/>
    <w:rsid w:val="00902ED6"/>
    <w:rsid w:val="00903B09"/>
    <w:rsid w:val="009054DE"/>
    <w:rsid w:val="00905973"/>
    <w:rsid w:val="00905A75"/>
    <w:rsid w:val="0090620A"/>
    <w:rsid w:val="00906EF7"/>
    <w:rsid w:val="009109A6"/>
    <w:rsid w:val="00910B37"/>
    <w:rsid w:val="009117F8"/>
    <w:rsid w:val="00911EDD"/>
    <w:rsid w:val="00913578"/>
    <w:rsid w:val="009138CE"/>
    <w:rsid w:val="0091397D"/>
    <w:rsid w:val="00913E0B"/>
    <w:rsid w:val="00913E8C"/>
    <w:rsid w:val="0091519C"/>
    <w:rsid w:val="00915B9F"/>
    <w:rsid w:val="00915D0B"/>
    <w:rsid w:val="0091735E"/>
    <w:rsid w:val="00917549"/>
    <w:rsid w:val="00917640"/>
    <w:rsid w:val="0091786E"/>
    <w:rsid w:val="00917EAE"/>
    <w:rsid w:val="0092078A"/>
    <w:rsid w:val="009209D8"/>
    <w:rsid w:val="0092144B"/>
    <w:rsid w:val="009221B6"/>
    <w:rsid w:val="00922545"/>
    <w:rsid w:val="00922792"/>
    <w:rsid w:val="00923493"/>
    <w:rsid w:val="009234F9"/>
    <w:rsid w:val="009236C1"/>
    <w:rsid w:val="00923859"/>
    <w:rsid w:val="00923DA4"/>
    <w:rsid w:val="00924229"/>
    <w:rsid w:val="00924C83"/>
    <w:rsid w:val="00926004"/>
    <w:rsid w:val="00926B12"/>
    <w:rsid w:val="00927705"/>
    <w:rsid w:val="00927AB0"/>
    <w:rsid w:val="009301EF"/>
    <w:rsid w:val="00930316"/>
    <w:rsid w:val="00930F48"/>
    <w:rsid w:val="0093107D"/>
    <w:rsid w:val="00931A47"/>
    <w:rsid w:val="00931AB3"/>
    <w:rsid w:val="00931E08"/>
    <w:rsid w:val="0093209D"/>
    <w:rsid w:val="009320AF"/>
    <w:rsid w:val="009322E5"/>
    <w:rsid w:val="00932E01"/>
    <w:rsid w:val="00933FEE"/>
    <w:rsid w:val="00935509"/>
    <w:rsid w:val="009357F5"/>
    <w:rsid w:val="009358AC"/>
    <w:rsid w:val="00936357"/>
    <w:rsid w:val="00936C69"/>
    <w:rsid w:val="009379FD"/>
    <w:rsid w:val="00937E13"/>
    <w:rsid w:val="0094054B"/>
    <w:rsid w:val="00940665"/>
    <w:rsid w:val="009407C0"/>
    <w:rsid w:val="00941F54"/>
    <w:rsid w:val="009421E9"/>
    <w:rsid w:val="009422EB"/>
    <w:rsid w:val="0094270D"/>
    <w:rsid w:val="00942C85"/>
    <w:rsid w:val="0094358E"/>
    <w:rsid w:val="00943C93"/>
    <w:rsid w:val="00943F10"/>
    <w:rsid w:val="009444F4"/>
    <w:rsid w:val="00944A31"/>
    <w:rsid w:val="00944C96"/>
    <w:rsid w:val="0094507D"/>
    <w:rsid w:val="009450A9"/>
    <w:rsid w:val="009450C0"/>
    <w:rsid w:val="009451B3"/>
    <w:rsid w:val="0094530D"/>
    <w:rsid w:val="009455BD"/>
    <w:rsid w:val="009455FC"/>
    <w:rsid w:val="00945F24"/>
    <w:rsid w:val="0094676D"/>
    <w:rsid w:val="00946CA4"/>
    <w:rsid w:val="00946D4F"/>
    <w:rsid w:val="00946E20"/>
    <w:rsid w:val="0094758C"/>
    <w:rsid w:val="009479AE"/>
    <w:rsid w:val="00947ABD"/>
    <w:rsid w:val="009500B3"/>
    <w:rsid w:val="009500BE"/>
    <w:rsid w:val="0095032B"/>
    <w:rsid w:val="00950578"/>
    <w:rsid w:val="00951800"/>
    <w:rsid w:val="00951BF9"/>
    <w:rsid w:val="00951E52"/>
    <w:rsid w:val="00951FE1"/>
    <w:rsid w:val="0095280F"/>
    <w:rsid w:val="00952D8A"/>
    <w:rsid w:val="00953998"/>
    <w:rsid w:val="00953DA4"/>
    <w:rsid w:val="00956CBF"/>
    <w:rsid w:val="00957879"/>
    <w:rsid w:val="00957D45"/>
    <w:rsid w:val="00960193"/>
    <w:rsid w:val="009604D5"/>
    <w:rsid w:val="009604DA"/>
    <w:rsid w:val="00960567"/>
    <w:rsid w:val="00960C44"/>
    <w:rsid w:val="00960D03"/>
    <w:rsid w:val="00961320"/>
    <w:rsid w:val="009616DB"/>
    <w:rsid w:val="009621A7"/>
    <w:rsid w:val="00962AEB"/>
    <w:rsid w:val="0096326C"/>
    <w:rsid w:val="00963C67"/>
    <w:rsid w:val="00964AE6"/>
    <w:rsid w:val="00964BAE"/>
    <w:rsid w:val="00965811"/>
    <w:rsid w:val="00965C4C"/>
    <w:rsid w:val="00966ACA"/>
    <w:rsid w:val="00966BB3"/>
    <w:rsid w:val="00967073"/>
    <w:rsid w:val="009670D5"/>
    <w:rsid w:val="00967A56"/>
    <w:rsid w:val="00967F99"/>
    <w:rsid w:val="009705A4"/>
    <w:rsid w:val="00970DCF"/>
    <w:rsid w:val="0097132C"/>
    <w:rsid w:val="00971727"/>
    <w:rsid w:val="009717EF"/>
    <w:rsid w:val="00971995"/>
    <w:rsid w:val="00971D88"/>
    <w:rsid w:val="00971FF6"/>
    <w:rsid w:val="00972013"/>
    <w:rsid w:val="00972C89"/>
    <w:rsid w:val="00973F5B"/>
    <w:rsid w:val="009742BD"/>
    <w:rsid w:val="0097443B"/>
    <w:rsid w:val="009744E1"/>
    <w:rsid w:val="009752B6"/>
    <w:rsid w:val="0097598B"/>
    <w:rsid w:val="00975B07"/>
    <w:rsid w:val="00976301"/>
    <w:rsid w:val="00976737"/>
    <w:rsid w:val="00976BEE"/>
    <w:rsid w:val="00976CBC"/>
    <w:rsid w:val="00977540"/>
    <w:rsid w:val="00977D4D"/>
    <w:rsid w:val="009802E4"/>
    <w:rsid w:val="00980A36"/>
    <w:rsid w:val="009815E3"/>
    <w:rsid w:val="00981819"/>
    <w:rsid w:val="009821AF"/>
    <w:rsid w:val="0098241D"/>
    <w:rsid w:val="00982A4B"/>
    <w:rsid w:val="009831E4"/>
    <w:rsid w:val="00983445"/>
    <w:rsid w:val="009835A1"/>
    <w:rsid w:val="009839AF"/>
    <w:rsid w:val="0098499D"/>
    <w:rsid w:val="0098552A"/>
    <w:rsid w:val="0098613D"/>
    <w:rsid w:val="009867D2"/>
    <w:rsid w:val="00986CFE"/>
    <w:rsid w:val="00986E9F"/>
    <w:rsid w:val="0098711F"/>
    <w:rsid w:val="0098746D"/>
    <w:rsid w:val="00987771"/>
    <w:rsid w:val="00987AB9"/>
    <w:rsid w:val="009901CB"/>
    <w:rsid w:val="009904F2"/>
    <w:rsid w:val="00990CCB"/>
    <w:rsid w:val="009915CA"/>
    <w:rsid w:val="00991B38"/>
    <w:rsid w:val="009926B8"/>
    <w:rsid w:val="009933FF"/>
    <w:rsid w:val="00993AA1"/>
    <w:rsid w:val="00994470"/>
    <w:rsid w:val="009952A1"/>
    <w:rsid w:val="00995323"/>
    <w:rsid w:val="00995475"/>
    <w:rsid w:val="009957FC"/>
    <w:rsid w:val="00997761"/>
    <w:rsid w:val="00997921"/>
    <w:rsid w:val="00997A93"/>
    <w:rsid w:val="009A01D7"/>
    <w:rsid w:val="009A069C"/>
    <w:rsid w:val="009A2EAE"/>
    <w:rsid w:val="009A3F5A"/>
    <w:rsid w:val="009A4301"/>
    <w:rsid w:val="009A44D6"/>
    <w:rsid w:val="009A48D5"/>
    <w:rsid w:val="009A4AC7"/>
    <w:rsid w:val="009A4C79"/>
    <w:rsid w:val="009A5618"/>
    <w:rsid w:val="009A63E7"/>
    <w:rsid w:val="009A66CE"/>
    <w:rsid w:val="009A6A41"/>
    <w:rsid w:val="009A729B"/>
    <w:rsid w:val="009A77F2"/>
    <w:rsid w:val="009A77F3"/>
    <w:rsid w:val="009A78E7"/>
    <w:rsid w:val="009A7D3A"/>
    <w:rsid w:val="009B0D80"/>
    <w:rsid w:val="009B11D6"/>
    <w:rsid w:val="009B2597"/>
    <w:rsid w:val="009B26D3"/>
    <w:rsid w:val="009B3885"/>
    <w:rsid w:val="009B3D44"/>
    <w:rsid w:val="009B3D68"/>
    <w:rsid w:val="009B3E12"/>
    <w:rsid w:val="009B40B4"/>
    <w:rsid w:val="009B4138"/>
    <w:rsid w:val="009B4429"/>
    <w:rsid w:val="009B4C25"/>
    <w:rsid w:val="009B5569"/>
    <w:rsid w:val="009B5BE2"/>
    <w:rsid w:val="009B6146"/>
    <w:rsid w:val="009B72AB"/>
    <w:rsid w:val="009B7E68"/>
    <w:rsid w:val="009C005D"/>
    <w:rsid w:val="009C09FB"/>
    <w:rsid w:val="009C1246"/>
    <w:rsid w:val="009C16B0"/>
    <w:rsid w:val="009C1C67"/>
    <w:rsid w:val="009C1D19"/>
    <w:rsid w:val="009C1E4A"/>
    <w:rsid w:val="009C2518"/>
    <w:rsid w:val="009C2552"/>
    <w:rsid w:val="009C26A2"/>
    <w:rsid w:val="009C28EA"/>
    <w:rsid w:val="009C4027"/>
    <w:rsid w:val="009C48EE"/>
    <w:rsid w:val="009C4A20"/>
    <w:rsid w:val="009C4DFF"/>
    <w:rsid w:val="009C4E87"/>
    <w:rsid w:val="009C4FDF"/>
    <w:rsid w:val="009C5079"/>
    <w:rsid w:val="009C5276"/>
    <w:rsid w:val="009C6CC8"/>
    <w:rsid w:val="009C7168"/>
    <w:rsid w:val="009C72C1"/>
    <w:rsid w:val="009D0FCA"/>
    <w:rsid w:val="009D131A"/>
    <w:rsid w:val="009D1E32"/>
    <w:rsid w:val="009D2D1D"/>
    <w:rsid w:val="009D2F7B"/>
    <w:rsid w:val="009D2F9F"/>
    <w:rsid w:val="009D2FD1"/>
    <w:rsid w:val="009D325E"/>
    <w:rsid w:val="009D343E"/>
    <w:rsid w:val="009D4779"/>
    <w:rsid w:val="009D5D53"/>
    <w:rsid w:val="009D5FF0"/>
    <w:rsid w:val="009D6235"/>
    <w:rsid w:val="009D68EE"/>
    <w:rsid w:val="009D6BDA"/>
    <w:rsid w:val="009D7035"/>
    <w:rsid w:val="009D731A"/>
    <w:rsid w:val="009D7340"/>
    <w:rsid w:val="009D7B36"/>
    <w:rsid w:val="009D7EDE"/>
    <w:rsid w:val="009E1F48"/>
    <w:rsid w:val="009E262D"/>
    <w:rsid w:val="009E2758"/>
    <w:rsid w:val="009E27DA"/>
    <w:rsid w:val="009E2B71"/>
    <w:rsid w:val="009E2D25"/>
    <w:rsid w:val="009E2E8F"/>
    <w:rsid w:val="009E3259"/>
    <w:rsid w:val="009E44CE"/>
    <w:rsid w:val="009E49A3"/>
    <w:rsid w:val="009E5454"/>
    <w:rsid w:val="009E550B"/>
    <w:rsid w:val="009E5738"/>
    <w:rsid w:val="009E594C"/>
    <w:rsid w:val="009E594E"/>
    <w:rsid w:val="009E60B8"/>
    <w:rsid w:val="009E6EEB"/>
    <w:rsid w:val="009E721A"/>
    <w:rsid w:val="009E72E8"/>
    <w:rsid w:val="009E74CF"/>
    <w:rsid w:val="009F1993"/>
    <w:rsid w:val="009F1CD9"/>
    <w:rsid w:val="009F2211"/>
    <w:rsid w:val="009F3165"/>
    <w:rsid w:val="009F3830"/>
    <w:rsid w:val="009F3E74"/>
    <w:rsid w:val="009F6564"/>
    <w:rsid w:val="009F65BE"/>
    <w:rsid w:val="009F7A25"/>
    <w:rsid w:val="00A006FA"/>
    <w:rsid w:val="00A00D2E"/>
    <w:rsid w:val="00A00E87"/>
    <w:rsid w:val="00A014CE"/>
    <w:rsid w:val="00A0159E"/>
    <w:rsid w:val="00A01662"/>
    <w:rsid w:val="00A020C9"/>
    <w:rsid w:val="00A025E9"/>
    <w:rsid w:val="00A028EE"/>
    <w:rsid w:val="00A032FE"/>
    <w:rsid w:val="00A06349"/>
    <w:rsid w:val="00A07C5C"/>
    <w:rsid w:val="00A07EC7"/>
    <w:rsid w:val="00A105D0"/>
    <w:rsid w:val="00A10780"/>
    <w:rsid w:val="00A10AE0"/>
    <w:rsid w:val="00A1185F"/>
    <w:rsid w:val="00A1227E"/>
    <w:rsid w:val="00A1284A"/>
    <w:rsid w:val="00A138BE"/>
    <w:rsid w:val="00A13930"/>
    <w:rsid w:val="00A13D2B"/>
    <w:rsid w:val="00A13E33"/>
    <w:rsid w:val="00A14964"/>
    <w:rsid w:val="00A14CC6"/>
    <w:rsid w:val="00A14DDB"/>
    <w:rsid w:val="00A176AA"/>
    <w:rsid w:val="00A17739"/>
    <w:rsid w:val="00A17D4A"/>
    <w:rsid w:val="00A17FA1"/>
    <w:rsid w:val="00A204A5"/>
    <w:rsid w:val="00A205C2"/>
    <w:rsid w:val="00A20892"/>
    <w:rsid w:val="00A20A66"/>
    <w:rsid w:val="00A215C7"/>
    <w:rsid w:val="00A2176E"/>
    <w:rsid w:val="00A22021"/>
    <w:rsid w:val="00A2273B"/>
    <w:rsid w:val="00A2298F"/>
    <w:rsid w:val="00A233E0"/>
    <w:rsid w:val="00A237A0"/>
    <w:rsid w:val="00A24858"/>
    <w:rsid w:val="00A24B9F"/>
    <w:rsid w:val="00A24C4D"/>
    <w:rsid w:val="00A24EFD"/>
    <w:rsid w:val="00A24F8D"/>
    <w:rsid w:val="00A2532B"/>
    <w:rsid w:val="00A253EE"/>
    <w:rsid w:val="00A26DB3"/>
    <w:rsid w:val="00A278CF"/>
    <w:rsid w:val="00A279E2"/>
    <w:rsid w:val="00A27B24"/>
    <w:rsid w:val="00A27E26"/>
    <w:rsid w:val="00A30131"/>
    <w:rsid w:val="00A30658"/>
    <w:rsid w:val="00A3067B"/>
    <w:rsid w:val="00A3067F"/>
    <w:rsid w:val="00A30902"/>
    <w:rsid w:val="00A310B0"/>
    <w:rsid w:val="00A31C04"/>
    <w:rsid w:val="00A3267A"/>
    <w:rsid w:val="00A33254"/>
    <w:rsid w:val="00A354FE"/>
    <w:rsid w:val="00A37AF6"/>
    <w:rsid w:val="00A40216"/>
    <w:rsid w:val="00A402DD"/>
    <w:rsid w:val="00A4090D"/>
    <w:rsid w:val="00A41BF4"/>
    <w:rsid w:val="00A42257"/>
    <w:rsid w:val="00A426A4"/>
    <w:rsid w:val="00A426CB"/>
    <w:rsid w:val="00A44FF5"/>
    <w:rsid w:val="00A45EB7"/>
    <w:rsid w:val="00A4657F"/>
    <w:rsid w:val="00A4695A"/>
    <w:rsid w:val="00A46F64"/>
    <w:rsid w:val="00A519F5"/>
    <w:rsid w:val="00A51A81"/>
    <w:rsid w:val="00A5212B"/>
    <w:rsid w:val="00A523DF"/>
    <w:rsid w:val="00A52A7D"/>
    <w:rsid w:val="00A52D97"/>
    <w:rsid w:val="00A53692"/>
    <w:rsid w:val="00A53721"/>
    <w:rsid w:val="00A53FD3"/>
    <w:rsid w:val="00A54982"/>
    <w:rsid w:val="00A54AB2"/>
    <w:rsid w:val="00A5590F"/>
    <w:rsid w:val="00A5597F"/>
    <w:rsid w:val="00A55C16"/>
    <w:rsid w:val="00A55DA4"/>
    <w:rsid w:val="00A55FC7"/>
    <w:rsid w:val="00A5651E"/>
    <w:rsid w:val="00A56532"/>
    <w:rsid w:val="00A56FEB"/>
    <w:rsid w:val="00A606B6"/>
    <w:rsid w:val="00A6079A"/>
    <w:rsid w:val="00A60C6D"/>
    <w:rsid w:val="00A615BF"/>
    <w:rsid w:val="00A61860"/>
    <w:rsid w:val="00A619A4"/>
    <w:rsid w:val="00A62A42"/>
    <w:rsid w:val="00A63190"/>
    <w:rsid w:val="00A64DDA"/>
    <w:rsid w:val="00A667F3"/>
    <w:rsid w:val="00A66929"/>
    <w:rsid w:val="00A66B0B"/>
    <w:rsid w:val="00A66D7A"/>
    <w:rsid w:val="00A66E7C"/>
    <w:rsid w:val="00A67306"/>
    <w:rsid w:val="00A7030B"/>
    <w:rsid w:val="00A7071C"/>
    <w:rsid w:val="00A70D43"/>
    <w:rsid w:val="00A70D7E"/>
    <w:rsid w:val="00A719B8"/>
    <w:rsid w:val="00A71F79"/>
    <w:rsid w:val="00A720D9"/>
    <w:rsid w:val="00A72767"/>
    <w:rsid w:val="00A72E4C"/>
    <w:rsid w:val="00A73247"/>
    <w:rsid w:val="00A73DB2"/>
    <w:rsid w:val="00A740D1"/>
    <w:rsid w:val="00A74414"/>
    <w:rsid w:val="00A747AE"/>
    <w:rsid w:val="00A75634"/>
    <w:rsid w:val="00A76C19"/>
    <w:rsid w:val="00A77623"/>
    <w:rsid w:val="00A804E3"/>
    <w:rsid w:val="00A805C9"/>
    <w:rsid w:val="00A8075D"/>
    <w:rsid w:val="00A807D7"/>
    <w:rsid w:val="00A815D9"/>
    <w:rsid w:val="00A818BA"/>
    <w:rsid w:val="00A81A03"/>
    <w:rsid w:val="00A81C68"/>
    <w:rsid w:val="00A81D85"/>
    <w:rsid w:val="00A82102"/>
    <w:rsid w:val="00A8221D"/>
    <w:rsid w:val="00A8225D"/>
    <w:rsid w:val="00A82978"/>
    <w:rsid w:val="00A82FD7"/>
    <w:rsid w:val="00A8311C"/>
    <w:rsid w:val="00A832EC"/>
    <w:rsid w:val="00A84E62"/>
    <w:rsid w:val="00A84F32"/>
    <w:rsid w:val="00A851CE"/>
    <w:rsid w:val="00A859C9"/>
    <w:rsid w:val="00A8698C"/>
    <w:rsid w:val="00A878AD"/>
    <w:rsid w:val="00A87CF2"/>
    <w:rsid w:val="00A906CB"/>
    <w:rsid w:val="00A90E51"/>
    <w:rsid w:val="00A920A1"/>
    <w:rsid w:val="00A92142"/>
    <w:rsid w:val="00A92BC2"/>
    <w:rsid w:val="00A92C35"/>
    <w:rsid w:val="00A93096"/>
    <w:rsid w:val="00A93E68"/>
    <w:rsid w:val="00A94365"/>
    <w:rsid w:val="00A95467"/>
    <w:rsid w:val="00A9566F"/>
    <w:rsid w:val="00A956E6"/>
    <w:rsid w:val="00A972EB"/>
    <w:rsid w:val="00A97973"/>
    <w:rsid w:val="00A97E92"/>
    <w:rsid w:val="00AA0B3C"/>
    <w:rsid w:val="00AA0FD7"/>
    <w:rsid w:val="00AA126F"/>
    <w:rsid w:val="00AA1984"/>
    <w:rsid w:val="00AA25E2"/>
    <w:rsid w:val="00AA345C"/>
    <w:rsid w:val="00AA3941"/>
    <w:rsid w:val="00AA4998"/>
    <w:rsid w:val="00AA4B4C"/>
    <w:rsid w:val="00AA4C8F"/>
    <w:rsid w:val="00AA7A45"/>
    <w:rsid w:val="00AB03F1"/>
    <w:rsid w:val="00AB0A10"/>
    <w:rsid w:val="00AB190B"/>
    <w:rsid w:val="00AB19B3"/>
    <w:rsid w:val="00AB1BC5"/>
    <w:rsid w:val="00AB1BDF"/>
    <w:rsid w:val="00AB1E8B"/>
    <w:rsid w:val="00AB298C"/>
    <w:rsid w:val="00AB2F9A"/>
    <w:rsid w:val="00AB3945"/>
    <w:rsid w:val="00AB43B6"/>
    <w:rsid w:val="00AB44D7"/>
    <w:rsid w:val="00AB45AF"/>
    <w:rsid w:val="00AB45C1"/>
    <w:rsid w:val="00AB47AB"/>
    <w:rsid w:val="00AB47ED"/>
    <w:rsid w:val="00AB4C4E"/>
    <w:rsid w:val="00AB535E"/>
    <w:rsid w:val="00AB5C19"/>
    <w:rsid w:val="00AB5F44"/>
    <w:rsid w:val="00AB666C"/>
    <w:rsid w:val="00AB6FF2"/>
    <w:rsid w:val="00AB7339"/>
    <w:rsid w:val="00AC0376"/>
    <w:rsid w:val="00AC0B23"/>
    <w:rsid w:val="00AC0DE5"/>
    <w:rsid w:val="00AC0E32"/>
    <w:rsid w:val="00AC174E"/>
    <w:rsid w:val="00AC1A00"/>
    <w:rsid w:val="00AC1E0F"/>
    <w:rsid w:val="00AC1E95"/>
    <w:rsid w:val="00AC31C8"/>
    <w:rsid w:val="00AC37DF"/>
    <w:rsid w:val="00AC44E1"/>
    <w:rsid w:val="00AC473E"/>
    <w:rsid w:val="00AC4A40"/>
    <w:rsid w:val="00AC5AAD"/>
    <w:rsid w:val="00AC64D1"/>
    <w:rsid w:val="00AC6A41"/>
    <w:rsid w:val="00AC6EF3"/>
    <w:rsid w:val="00AC6FB1"/>
    <w:rsid w:val="00AC7739"/>
    <w:rsid w:val="00AC7AA3"/>
    <w:rsid w:val="00AD13B9"/>
    <w:rsid w:val="00AD1FCE"/>
    <w:rsid w:val="00AD250B"/>
    <w:rsid w:val="00AD2EDD"/>
    <w:rsid w:val="00AD30E7"/>
    <w:rsid w:val="00AD31F0"/>
    <w:rsid w:val="00AD5264"/>
    <w:rsid w:val="00AD5418"/>
    <w:rsid w:val="00AD5D57"/>
    <w:rsid w:val="00AD624D"/>
    <w:rsid w:val="00AD6544"/>
    <w:rsid w:val="00AD658C"/>
    <w:rsid w:val="00AD6F1D"/>
    <w:rsid w:val="00AE03EF"/>
    <w:rsid w:val="00AE0F30"/>
    <w:rsid w:val="00AE0FB8"/>
    <w:rsid w:val="00AE1E72"/>
    <w:rsid w:val="00AE22EC"/>
    <w:rsid w:val="00AE2895"/>
    <w:rsid w:val="00AE2AA2"/>
    <w:rsid w:val="00AE310A"/>
    <w:rsid w:val="00AE352B"/>
    <w:rsid w:val="00AE3B22"/>
    <w:rsid w:val="00AE5AE8"/>
    <w:rsid w:val="00AE6241"/>
    <w:rsid w:val="00AE6955"/>
    <w:rsid w:val="00AE74A1"/>
    <w:rsid w:val="00AE776E"/>
    <w:rsid w:val="00AE7FBC"/>
    <w:rsid w:val="00AF037D"/>
    <w:rsid w:val="00AF0A5E"/>
    <w:rsid w:val="00AF174E"/>
    <w:rsid w:val="00AF177C"/>
    <w:rsid w:val="00AF1F30"/>
    <w:rsid w:val="00AF2C07"/>
    <w:rsid w:val="00AF2FB0"/>
    <w:rsid w:val="00AF2FF8"/>
    <w:rsid w:val="00AF3AF2"/>
    <w:rsid w:val="00AF4927"/>
    <w:rsid w:val="00AF4940"/>
    <w:rsid w:val="00AF5D33"/>
    <w:rsid w:val="00AF6543"/>
    <w:rsid w:val="00AF6C95"/>
    <w:rsid w:val="00AF7319"/>
    <w:rsid w:val="00AF7869"/>
    <w:rsid w:val="00AF7ED2"/>
    <w:rsid w:val="00B00264"/>
    <w:rsid w:val="00B0059A"/>
    <w:rsid w:val="00B007C7"/>
    <w:rsid w:val="00B0118F"/>
    <w:rsid w:val="00B018DD"/>
    <w:rsid w:val="00B01A51"/>
    <w:rsid w:val="00B01BE4"/>
    <w:rsid w:val="00B026F5"/>
    <w:rsid w:val="00B029E2"/>
    <w:rsid w:val="00B02B8C"/>
    <w:rsid w:val="00B02EFB"/>
    <w:rsid w:val="00B03631"/>
    <w:rsid w:val="00B038B0"/>
    <w:rsid w:val="00B049D3"/>
    <w:rsid w:val="00B05317"/>
    <w:rsid w:val="00B0566C"/>
    <w:rsid w:val="00B05F9B"/>
    <w:rsid w:val="00B06226"/>
    <w:rsid w:val="00B068CF"/>
    <w:rsid w:val="00B06A2D"/>
    <w:rsid w:val="00B06A50"/>
    <w:rsid w:val="00B06F5E"/>
    <w:rsid w:val="00B06FD5"/>
    <w:rsid w:val="00B07652"/>
    <w:rsid w:val="00B07BDE"/>
    <w:rsid w:val="00B07D04"/>
    <w:rsid w:val="00B11118"/>
    <w:rsid w:val="00B11612"/>
    <w:rsid w:val="00B11843"/>
    <w:rsid w:val="00B11CEA"/>
    <w:rsid w:val="00B12116"/>
    <w:rsid w:val="00B1297B"/>
    <w:rsid w:val="00B12D9D"/>
    <w:rsid w:val="00B12E42"/>
    <w:rsid w:val="00B13416"/>
    <w:rsid w:val="00B1401E"/>
    <w:rsid w:val="00B1483B"/>
    <w:rsid w:val="00B15087"/>
    <w:rsid w:val="00B151D6"/>
    <w:rsid w:val="00B17078"/>
    <w:rsid w:val="00B1751A"/>
    <w:rsid w:val="00B17555"/>
    <w:rsid w:val="00B21218"/>
    <w:rsid w:val="00B213CC"/>
    <w:rsid w:val="00B21909"/>
    <w:rsid w:val="00B21974"/>
    <w:rsid w:val="00B21D25"/>
    <w:rsid w:val="00B22EF8"/>
    <w:rsid w:val="00B23840"/>
    <w:rsid w:val="00B244C6"/>
    <w:rsid w:val="00B24689"/>
    <w:rsid w:val="00B24734"/>
    <w:rsid w:val="00B25268"/>
    <w:rsid w:val="00B253D5"/>
    <w:rsid w:val="00B260FA"/>
    <w:rsid w:val="00B2715B"/>
    <w:rsid w:val="00B27955"/>
    <w:rsid w:val="00B30926"/>
    <w:rsid w:val="00B30EED"/>
    <w:rsid w:val="00B311AD"/>
    <w:rsid w:val="00B31468"/>
    <w:rsid w:val="00B316F7"/>
    <w:rsid w:val="00B31950"/>
    <w:rsid w:val="00B31F0F"/>
    <w:rsid w:val="00B328F3"/>
    <w:rsid w:val="00B32A58"/>
    <w:rsid w:val="00B32E9B"/>
    <w:rsid w:val="00B336C3"/>
    <w:rsid w:val="00B3376E"/>
    <w:rsid w:val="00B33872"/>
    <w:rsid w:val="00B340F5"/>
    <w:rsid w:val="00B341E0"/>
    <w:rsid w:val="00B3451D"/>
    <w:rsid w:val="00B34DB2"/>
    <w:rsid w:val="00B361D0"/>
    <w:rsid w:val="00B36527"/>
    <w:rsid w:val="00B36B20"/>
    <w:rsid w:val="00B37092"/>
    <w:rsid w:val="00B37AC6"/>
    <w:rsid w:val="00B37C65"/>
    <w:rsid w:val="00B4079A"/>
    <w:rsid w:val="00B40B11"/>
    <w:rsid w:val="00B418F6"/>
    <w:rsid w:val="00B41E72"/>
    <w:rsid w:val="00B42310"/>
    <w:rsid w:val="00B43BA0"/>
    <w:rsid w:val="00B445E1"/>
    <w:rsid w:val="00B45744"/>
    <w:rsid w:val="00B45C2A"/>
    <w:rsid w:val="00B47379"/>
    <w:rsid w:val="00B47382"/>
    <w:rsid w:val="00B473E1"/>
    <w:rsid w:val="00B47507"/>
    <w:rsid w:val="00B47DDC"/>
    <w:rsid w:val="00B500FA"/>
    <w:rsid w:val="00B506F1"/>
    <w:rsid w:val="00B50B89"/>
    <w:rsid w:val="00B518CD"/>
    <w:rsid w:val="00B51C0D"/>
    <w:rsid w:val="00B52AD9"/>
    <w:rsid w:val="00B5435C"/>
    <w:rsid w:val="00B54D09"/>
    <w:rsid w:val="00B5537B"/>
    <w:rsid w:val="00B5538A"/>
    <w:rsid w:val="00B56882"/>
    <w:rsid w:val="00B56A74"/>
    <w:rsid w:val="00B579B6"/>
    <w:rsid w:val="00B57B0E"/>
    <w:rsid w:val="00B62494"/>
    <w:rsid w:val="00B626C1"/>
    <w:rsid w:val="00B6340B"/>
    <w:rsid w:val="00B63566"/>
    <w:rsid w:val="00B64049"/>
    <w:rsid w:val="00B64370"/>
    <w:rsid w:val="00B644DE"/>
    <w:rsid w:val="00B647A0"/>
    <w:rsid w:val="00B649D2"/>
    <w:rsid w:val="00B64A3C"/>
    <w:rsid w:val="00B64C7B"/>
    <w:rsid w:val="00B64DDE"/>
    <w:rsid w:val="00B653FF"/>
    <w:rsid w:val="00B654BC"/>
    <w:rsid w:val="00B656E8"/>
    <w:rsid w:val="00B666B3"/>
    <w:rsid w:val="00B670B3"/>
    <w:rsid w:val="00B67990"/>
    <w:rsid w:val="00B67A6D"/>
    <w:rsid w:val="00B67EBB"/>
    <w:rsid w:val="00B7043D"/>
    <w:rsid w:val="00B70BB6"/>
    <w:rsid w:val="00B724C4"/>
    <w:rsid w:val="00B727CA"/>
    <w:rsid w:val="00B73198"/>
    <w:rsid w:val="00B73243"/>
    <w:rsid w:val="00B7325D"/>
    <w:rsid w:val="00B73363"/>
    <w:rsid w:val="00B73B61"/>
    <w:rsid w:val="00B74243"/>
    <w:rsid w:val="00B74F90"/>
    <w:rsid w:val="00B74FD1"/>
    <w:rsid w:val="00B75F32"/>
    <w:rsid w:val="00B76845"/>
    <w:rsid w:val="00B77C5B"/>
    <w:rsid w:val="00B804A7"/>
    <w:rsid w:val="00B805BD"/>
    <w:rsid w:val="00B80653"/>
    <w:rsid w:val="00B808C6"/>
    <w:rsid w:val="00B80A06"/>
    <w:rsid w:val="00B80BA0"/>
    <w:rsid w:val="00B81BC5"/>
    <w:rsid w:val="00B81CCD"/>
    <w:rsid w:val="00B81E01"/>
    <w:rsid w:val="00B8234C"/>
    <w:rsid w:val="00B82883"/>
    <w:rsid w:val="00B83105"/>
    <w:rsid w:val="00B83487"/>
    <w:rsid w:val="00B83B73"/>
    <w:rsid w:val="00B84D0E"/>
    <w:rsid w:val="00B8564A"/>
    <w:rsid w:val="00B8589B"/>
    <w:rsid w:val="00B85BF9"/>
    <w:rsid w:val="00B85EB6"/>
    <w:rsid w:val="00B860F6"/>
    <w:rsid w:val="00B86124"/>
    <w:rsid w:val="00B8620D"/>
    <w:rsid w:val="00B86BBC"/>
    <w:rsid w:val="00B8788F"/>
    <w:rsid w:val="00B87EEB"/>
    <w:rsid w:val="00B9047A"/>
    <w:rsid w:val="00B905C4"/>
    <w:rsid w:val="00B918BA"/>
    <w:rsid w:val="00B91ABE"/>
    <w:rsid w:val="00B91F84"/>
    <w:rsid w:val="00B92212"/>
    <w:rsid w:val="00B925FF"/>
    <w:rsid w:val="00B9274A"/>
    <w:rsid w:val="00B9308D"/>
    <w:rsid w:val="00B93723"/>
    <w:rsid w:val="00B9479D"/>
    <w:rsid w:val="00B947E4"/>
    <w:rsid w:val="00B951F9"/>
    <w:rsid w:val="00B9583D"/>
    <w:rsid w:val="00B96170"/>
    <w:rsid w:val="00B962E2"/>
    <w:rsid w:val="00B96FEA"/>
    <w:rsid w:val="00BA0981"/>
    <w:rsid w:val="00BA09C3"/>
    <w:rsid w:val="00BA0F54"/>
    <w:rsid w:val="00BA1244"/>
    <w:rsid w:val="00BA16D5"/>
    <w:rsid w:val="00BA1B72"/>
    <w:rsid w:val="00BA2333"/>
    <w:rsid w:val="00BA2FFB"/>
    <w:rsid w:val="00BA304B"/>
    <w:rsid w:val="00BA30F2"/>
    <w:rsid w:val="00BA3289"/>
    <w:rsid w:val="00BA3DC6"/>
    <w:rsid w:val="00BA49F8"/>
    <w:rsid w:val="00BA50EF"/>
    <w:rsid w:val="00BA5274"/>
    <w:rsid w:val="00BA5BB6"/>
    <w:rsid w:val="00BA603F"/>
    <w:rsid w:val="00BA618D"/>
    <w:rsid w:val="00BA69C8"/>
    <w:rsid w:val="00BA7183"/>
    <w:rsid w:val="00BA7715"/>
    <w:rsid w:val="00BB0206"/>
    <w:rsid w:val="00BB135C"/>
    <w:rsid w:val="00BB151E"/>
    <w:rsid w:val="00BB1F10"/>
    <w:rsid w:val="00BB27C0"/>
    <w:rsid w:val="00BB292E"/>
    <w:rsid w:val="00BB3BC2"/>
    <w:rsid w:val="00BB3C8C"/>
    <w:rsid w:val="00BB4DE6"/>
    <w:rsid w:val="00BB548C"/>
    <w:rsid w:val="00BB6460"/>
    <w:rsid w:val="00BB6682"/>
    <w:rsid w:val="00BB75DC"/>
    <w:rsid w:val="00BB7600"/>
    <w:rsid w:val="00BB7730"/>
    <w:rsid w:val="00BB7B0E"/>
    <w:rsid w:val="00BC044C"/>
    <w:rsid w:val="00BC06D7"/>
    <w:rsid w:val="00BC1DEB"/>
    <w:rsid w:val="00BC1E70"/>
    <w:rsid w:val="00BC245F"/>
    <w:rsid w:val="00BC260C"/>
    <w:rsid w:val="00BC2EC8"/>
    <w:rsid w:val="00BC346C"/>
    <w:rsid w:val="00BC386F"/>
    <w:rsid w:val="00BC5A1E"/>
    <w:rsid w:val="00BC6B09"/>
    <w:rsid w:val="00BC6B13"/>
    <w:rsid w:val="00BC6EE0"/>
    <w:rsid w:val="00BC7CE3"/>
    <w:rsid w:val="00BD04E6"/>
    <w:rsid w:val="00BD0807"/>
    <w:rsid w:val="00BD1173"/>
    <w:rsid w:val="00BD118C"/>
    <w:rsid w:val="00BD139C"/>
    <w:rsid w:val="00BD1CFE"/>
    <w:rsid w:val="00BD295B"/>
    <w:rsid w:val="00BD2A55"/>
    <w:rsid w:val="00BD3853"/>
    <w:rsid w:val="00BD4A13"/>
    <w:rsid w:val="00BD4A2D"/>
    <w:rsid w:val="00BD5DFC"/>
    <w:rsid w:val="00BD6BE3"/>
    <w:rsid w:val="00BE0123"/>
    <w:rsid w:val="00BE0189"/>
    <w:rsid w:val="00BE0E59"/>
    <w:rsid w:val="00BE14A9"/>
    <w:rsid w:val="00BE19EA"/>
    <w:rsid w:val="00BE24A2"/>
    <w:rsid w:val="00BE3583"/>
    <w:rsid w:val="00BE3884"/>
    <w:rsid w:val="00BE3C2C"/>
    <w:rsid w:val="00BE3DBD"/>
    <w:rsid w:val="00BE3EE1"/>
    <w:rsid w:val="00BE58E9"/>
    <w:rsid w:val="00BE5E4D"/>
    <w:rsid w:val="00BE608E"/>
    <w:rsid w:val="00BE649A"/>
    <w:rsid w:val="00BE7515"/>
    <w:rsid w:val="00BF0D8F"/>
    <w:rsid w:val="00BF1F49"/>
    <w:rsid w:val="00BF27B7"/>
    <w:rsid w:val="00BF294A"/>
    <w:rsid w:val="00BF2BD5"/>
    <w:rsid w:val="00BF2C71"/>
    <w:rsid w:val="00BF301D"/>
    <w:rsid w:val="00BF34B6"/>
    <w:rsid w:val="00BF3A7A"/>
    <w:rsid w:val="00BF4516"/>
    <w:rsid w:val="00BF4A87"/>
    <w:rsid w:val="00BF4D94"/>
    <w:rsid w:val="00BF563D"/>
    <w:rsid w:val="00BF586D"/>
    <w:rsid w:val="00BF621A"/>
    <w:rsid w:val="00BF6850"/>
    <w:rsid w:val="00BF6CD7"/>
    <w:rsid w:val="00BF6EDC"/>
    <w:rsid w:val="00BF70EB"/>
    <w:rsid w:val="00C0000A"/>
    <w:rsid w:val="00C01BDB"/>
    <w:rsid w:val="00C01C6E"/>
    <w:rsid w:val="00C02947"/>
    <w:rsid w:val="00C02C56"/>
    <w:rsid w:val="00C0301E"/>
    <w:rsid w:val="00C0405B"/>
    <w:rsid w:val="00C046D9"/>
    <w:rsid w:val="00C0474C"/>
    <w:rsid w:val="00C04F09"/>
    <w:rsid w:val="00C05204"/>
    <w:rsid w:val="00C054EF"/>
    <w:rsid w:val="00C070B9"/>
    <w:rsid w:val="00C07DF6"/>
    <w:rsid w:val="00C1106E"/>
    <w:rsid w:val="00C11976"/>
    <w:rsid w:val="00C120CF"/>
    <w:rsid w:val="00C12394"/>
    <w:rsid w:val="00C1319B"/>
    <w:rsid w:val="00C143CA"/>
    <w:rsid w:val="00C14501"/>
    <w:rsid w:val="00C14C10"/>
    <w:rsid w:val="00C1509A"/>
    <w:rsid w:val="00C157B1"/>
    <w:rsid w:val="00C15B73"/>
    <w:rsid w:val="00C161F8"/>
    <w:rsid w:val="00C171BB"/>
    <w:rsid w:val="00C17920"/>
    <w:rsid w:val="00C179DF"/>
    <w:rsid w:val="00C17A6F"/>
    <w:rsid w:val="00C17FC1"/>
    <w:rsid w:val="00C20445"/>
    <w:rsid w:val="00C20913"/>
    <w:rsid w:val="00C20F1E"/>
    <w:rsid w:val="00C21375"/>
    <w:rsid w:val="00C21635"/>
    <w:rsid w:val="00C21AC0"/>
    <w:rsid w:val="00C21C97"/>
    <w:rsid w:val="00C21CBC"/>
    <w:rsid w:val="00C21EE1"/>
    <w:rsid w:val="00C22AB1"/>
    <w:rsid w:val="00C22FAE"/>
    <w:rsid w:val="00C231D7"/>
    <w:rsid w:val="00C233B1"/>
    <w:rsid w:val="00C23AA0"/>
    <w:rsid w:val="00C243E7"/>
    <w:rsid w:val="00C24527"/>
    <w:rsid w:val="00C24879"/>
    <w:rsid w:val="00C250A1"/>
    <w:rsid w:val="00C2519E"/>
    <w:rsid w:val="00C263D3"/>
    <w:rsid w:val="00C26774"/>
    <w:rsid w:val="00C268BA"/>
    <w:rsid w:val="00C26FCB"/>
    <w:rsid w:val="00C27A0D"/>
    <w:rsid w:val="00C309B1"/>
    <w:rsid w:val="00C312B1"/>
    <w:rsid w:val="00C31969"/>
    <w:rsid w:val="00C32543"/>
    <w:rsid w:val="00C32B2E"/>
    <w:rsid w:val="00C330A4"/>
    <w:rsid w:val="00C332FB"/>
    <w:rsid w:val="00C33A01"/>
    <w:rsid w:val="00C33A9B"/>
    <w:rsid w:val="00C33CDB"/>
    <w:rsid w:val="00C3430A"/>
    <w:rsid w:val="00C34558"/>
    <w:rsid w:val="00C34B65"/>
    <w:rsid w:val="00C3502D"/>
    <w:rsid w:val="00C357CF"/>
    <w:rsid w:val="00C35880"/>
    <w:rsid w:val="00C37784"/>
    <w:rsid w:val="00C400CF"/>
    <w:rsid w:val="00C4036D"/>
    <w:rsid w:val="00C413FB"/>
    <w:rsid w:val="00C41C75"/>
    <w:rsid w:val="00C41CE9"/>
    <w:rsid w:val="00C421E4"/>
    <w:rsid w:val="00C4281F"/>
    <w:rsid w:val="00C42C82"/>
    <w:rsid w:val="00C42D57"/>
    <w:rsid w:val="00C43250"/>
    <w:rsid w:val="00C43EAB"/>
    <w:rsid w:val="00C44FCF"/>
    <w:rsid w:val="00C45214"/>
    <w:rsid w:val="00C462FA"/>
    <w:rsid w:val="00C46567"/>
    <w:rsid w:val="00C469C4"/>
    <w:rsid w:val="00C470D9"/>
    <w:rsid w:val="00C470F8"/>
    <w:rsid w:val="00C47A89"/>
    <w:rsid w:val="00C47BAA"/>
    <w:rsid w:val="00C47EB1"/>
    <w:rsid w:val="00C47F7A"/>
    <w:rsid w:val="00C51D28"/>
    <w:rsid w:val="00C51EF4"/>
    <w:rsid w:val="00C51FE1"/>
    <w:rsid w:val="00C52210"/>
    <w:rsid w:val="00C5269A"/>
    <w:rsid w:val="00C52701"/>
    <w:rsid w:val="00C52A1B"/>
    <w:rsid w:val="00C53AF3"/>
    <w:rsid w:val="00C53C1E"/>
    <w:rsid w:val="00C53C7D"/>
    <w:rsid w:val="00C54097"/>
    <w:rsid w:val="00C55622"/>
    <w:rsid w:val="00C55634"/>
    <w:rsid w:val="00C559EF"/>
    <w:rsid w:val="00C56FA3"/>
    <w:rsid w:val="00C5761F"/>
    <w:rsid w:val="00C57B0E"/>
    <w:rsid w:val="00C60023"/>
    <w:rsid w:val="00C608A2"/>
    <w:rsid w:val="00C61D6E"/>
    <w:rsid w:val="00C61D8C"/>
    <w:rsid w:val="00C61E78"/>
    <w:rsid w:val="00C61F05"/>
    <w:rsid w:val="00C61F51"/>
    <w:rsid w:val="00C62A1F"/>
    <w:rsid w:val="00C62F34"/>
    <w:rsid w:val="00C635B6"/>
    <w:rsid w:val="00C6403F"/>
    <w:rsid w:val="00C643A9"/>
    <w:rsid w:val="00C64C6E"/>
    <w:rsid w:val="00C6519C"/>
    <w:rsid w:val="00C654BD"/>
    <w:rsid w:val="00C655CE"/>
    <w:rsid w:val="00C65721"/>
    <w:rsid w:val="00C66288"/>
    <w:rsid w:val="00C671CB"/>
    <w:rsid w:val="00C6753E"/>
    <w:rsid w:val="00C677D4"/>
    <w:rsid w:val="00C67C7E"/>
    <w:rsid w:val="00C67F69"/>
    <w:rsid w:val="00C67FCD"/>
    <w:rsid w:val="00C70244"/>
    <w:rsid w:val="00C70253"/>
    <w:rsid w:val="00C70307"/>
    <w:rsid w:val="00C703BD"/>
    <w:rsid w:val="00C704A5"/>
    <w:rsid w:val="00C70669"/>
    <w:rsid w:val="00C70E39"/>
    <w:rsid w:val="00C71266"/>
    <w:rsid w:val="00C718BC"/>
    <w:rsid w:val="00C72A90"/>
    <w:rsid w:val="00C72D03"/>
    <w:rsid w:val="00C73534"/>
    <w:rsid w:val="00C74129"/>
    <w:rsid w:val="00C74AF0"/>
    <w:rsid w:val="00C753C2"/>
    <w:rsid w:val="00C756F0"/>
    <w:rsid w:val="00C75734"/>
    <w:rsid w:val="00C75DC0"/>
    <w:rsid w:val="00C76691"/>
    <w:rsid w:val="00C76837"/>
    <w:rsid w:val="00C7684A"/>
    <w:rsid w:val="00C774E6"/>
    <w:rsid w:val="00C77543"/>
    <w:rsid w:val="00C778CD"/>
    <w:rsid w:val="00C77EDA"/>
    <w:rsid w:val="00C806F7"/>
    <w:rsid w:val="00C80896"/>
    <w:rsid w:val="00C80D03"/>
    <w:rsid w:val="00C818D2"/>
    <w:rsid w:val="00C83D9A"/>
    <w:rsid w:val="00C841C8"/>
    <w:rsid w:val="00C842CB"/>
    <w:rsid w:val="00C84913"/>
    <w:rsid w:val="00C84A98"/>
    <w:rsid w:val="00C856CC"/>
    <w:rsid w:val="00C856D1"/>
    <w:rsid w:val="00C86242"/>
    <w:rsid w:val="00C8659A"/>
    <w:rsid w:val="00C86887"/>
    <w:rsid w:val="00C902AA"/>
    <w:rsid w:val="00C90630"/>
    <w:rsid w:val="00C90B7C"/>
    <w:rsid w:val="00C91EBC"/>
    <w:rsid w:val="00C920D4"/>
    <w:rsid w:val="00C92777"/>
    <w:rsid w:val="00C929F8"/>
    <w:rsid w:val="00C930E7"/>
    <w:rsid w:val="00C936C8"/>
    <w:rsid w:val="00C939B3"/>
    <w:rsid w:val="00C94A71"/>
    <w:rsid w:val="00C955A5"/>
    <w:rsid w:val="00C95BFB"/>
    <w:rsid w:val="00C96323"/>
    <w:rsid w:val="00C971B8"/>
    <w:rsid w:val="00CA0537"/>
    <w:rsid w:val="00CA0600"/>
    <w:rsid w:val="00CA0D25"/>
    <w:rsid w:val="00CA0D35"/>
    <w:rsid w:val="00CA0D74"/>
    <w:rsid w:val="00CA14FD"/>
    <w:rsid w:val="00CA1618"/>
    <w:rsid w:val="00CA1933"/>
    <w:rsid w:val="00CA2CE1"/>
    <w:rsid w:val="00CA35CD"/>
    <w:rsid w:val="00CA3618"/>
    <w:rsid w:val="00CA3B4E"/>
    <w:rsid w:val="00CA469E"/>
    <w:rsid w:val="00CA4B91"/>
    <w:rsid w:val="00CA5E57"/>
    <w:rsid w:val="00CA6819"/>
    <w:rsid w:val="00CA68A3"/>
    <w:rsid w:val="00CA6EA5"/>
    <w:rsid w:val="00CA6FD9"/>
    <w:rsid w:val="00CA7BB0"/>
    <w:rsid w:val="00CB0824"/>
    <w:rsid w:val="00CB10B8"/>
    <w:rsid w:val="00CB13E7"/>
    <w:rsid w:val="00CB1800"/>
    <w:rsid w:val="00CB3044"/>
    <w:rsid w:val="00CB33C6"/>
    <w:rsid w:val="00CB3428"/>
    <w:rsid w:val="00CB4535"/>
    <w:rsid w:val="00CB520B"/>
    <w:rsid w:val="00CB531C"/>
    <w:rsid w:val="00CB5F8C"/>
    <w:rsid w:val="00CB5FEA"/>
    <w:rsid w:val="00CB60E2"/>
    <w:rsid w:val="00CB616B"/>
    <w:rsid w:val="00CB6578"/>
    <w:rsid w:val="00CB6E33"/>
    <w:rsid w:val="00CB6FE3"/>
    <w:rsid w:val="00CB756E"/>
    <w:rsid w:val="00CB75DB"/>
    <w:rsid w:val="00CB76A4"/>
    <w:rsid w:val="00CB78B1"/>
    <w:rsid w:val="00CC085B"/>
    <w:rsid w:val="00CC0D64"/>
    <w:rsid w:val="00CC1605"/>
    <w:rsid w:val="00CC16DE"/>
    <w:rsid w:val="00CC1D48"/>
    <w:rsid w:val="00CC2514"/>
    <w:rsid w:val="00CC25E3"/>
    <w:rsid w:val="00CC2D05"/>
    <w:rsid w:val="00CC309E"/>
    <w:rsid w:val="00CC3286"/>
    <w:rsid w:val="00CC35C5"/>
    <w:rsid w:val="00CC37A8"/>
    <w:rsid w:val="00CC4DB0"/>
    <w:rsid w:val="00CC5049"/>
    <w:rsid w:val="00CC526A"/>
    <w:rsid w:val="00CC5A1F"/>
    <w:rsid w:val="00CC5AE9"/>
    <w:rsid w:val="00CC645E"/>
    <w:rsid w:val="00CC64DB"/>
    <w:rsid w:val="00CC6709"/>
    <w:rsid w:val="00CC689B"/>
    <w:rsid w:val="00CD0A01"/>
    <w:rsid w:val="00CD1168"/>
    <w:rsid w:val="00CD11E3"/>
    <w:rsid w:val="00CD1359"/>
    <w:rsid w:val="00CD19E1"/>
    <w:rsid w:val="00CD1F11"/>
    <w:rsid w:val="00CD1F47"/>
    <w:rsid w:val="00CD2012"/>
    <w:rsid w:val="00CD2070"/>
    <w:rsid w:val="00CD23CD"/>
    <w:rsid w:val="00CD2869"/>
    <w:rsid w:val="00CD2EED"/>
    <w:rsid w:val="00CD3187"/>
    <w:rsid w:val="00CD368A"/>
    <w:rsid w:val="00CD4611"/>
    <w:rsid w:val="00CD5060"/>
    <w:rsid w:val="00CD5525"/>
    <w:rsid w:val="00CD5746"/>
    <w:rsid w:val="00CD5984"/>
    <w:rsid w:val="00CD5EDB"/>
    <w:rsid w:val="00CD60FE"/>
    <w:rsid w:val="00CD647F"/>
    <w:rsid w:val="00CD6DE1"/>
    <w:rsid w:val="00CD6E22"/>
    <w:rsid w:val="00CD7233"/>
    <w:rsid w:val="00CD7723"/>
    <w:rsid w:val="00CE03E9"/>
    <w:rsid w:val="00CE080F"/>
    <w:rsid w:val="00CE0B08"/>
    <w:rsid w:val="00CE0D5C"/>
    <w:rsid w:val="00CE0D8D"/>
    <w:rsid w:val="00CE1D93"/>
    <w:rsid w:val="00CE337E"/>
    <w:rsid w:val="00CE376C"/>
    <w:rsid w:val="00CE3A59"/>
    <w:rsid w:val="00CE4083"/>
    <w:rsid w:val="00CE42DA"/>
    <w:rsid w:val="00CE432A"/>
    <w:rsid w:val="00CE4570"/>
    <w:rsid w:val="00CE4C73"/>
    <w:rsid w:val="00CE4C86"/>
    <w:rsid w:val="00CE51B9"/>
    <w:rsid w:val="00CE6781"/>
    <w:rsid w:val="00CE6B44"/>
    <w:rsid w:val="00CE6CFA"/>
    <w:rsid w:val="00CE6E48"/>
    <w:rsid w:val="00CE7450"/>
    <w:rsid w:val="00CE764B"/>
    <w:rsid w:val="00CF099B"/>
    <w:rsid w:val="00CF16CF"/>
    <w:rsid w:val="00CF177D"/>
    <w:rsid w:val="00CF2967"/>
    <w:rsid w:val="00CF30D7"/>
    <w:rsid w:val="00CF3244"/>
    <w:rsid w:val="00CF39E9"/>
    <w:rsid w:val="00CF4B55"/>
    <w:rsid w:val="00CF4B5A"/>
    <w:rsid w:val="00CF58D3"/>
    <w:rsid w:val="00CF5E2E"/>
    <w:rsid w:val="00CF66EE"/>
    <w:rsid w:val="00CF680A"/>
    <w:rsid w:val="00CF7477"/>
    <w:rsid w:val="00CF7B07"/>
    <w:rsid w:val="00CF7B90"/>
    <w:rsid w:val="00D003D1"/>
    <w:rsid w:val="00D00516"/>
    <w:rsid w:val="00D0363B"/>
    <w:rsid w:val="00D03948"/>
    <w:rsid w:val="00D03C40"/>
    <w:rsid w:val="00D03C56"/>
    <w:rsid w:val="00D042A3"/>
    <w:rsid w:val="00D0569F"/>
    <w:rsid w:val="00D05A07"/>
    <w:rsid w:val="00D065CE"/>
    <w:rsid w:val="00D065F4"/>
    <w:rsid w:val="00D06F18"/>
    <w:rsid w:val="00D07013"/>
    <w:rsid w:val="00D0767F"/>
    <w:rsid w:val="00D07771"/>
    <w:rsid w:val="00D1026D"/>
    <w:rsid w:val="00D126F7"/>
    <w:rsid w:val="00D13129"/>
    <w:rsid w:val="00D1316F"/>
    <w:rsid w:val="00D131CA"/>
    <w:rsid w:val="00D136FE"/>
    <w:rsid w:val="00D13A70"/>
    <w:rsid w:val="00D13AAF"/>
    <w:rsid w:val="00D144D9"/>
    <w:rsid w:val="00D1534E"/>
    <w:rsid w:val="00D16966"/>
    <w:rsid w:val="00D16DA8"/>
    <w:rsid w:val="00D170F7"/>
    <w:rsid w:val="00D17479"/>
    <w:rsid w:val="00D17843"/>
    <w:rsid w:val="00D17948"/>
    <w:rsid w:val="00D21330"/>
    <w:rsid w:val="00D21671"/>
    <w:rsid w:val="00D21877"/>
    <w:rsid w:val="00D2212A"/>
    <w:rsid w:val="00D2322E"/>
    <w:rsid w:val="00D2396C"/>
    <w:rsid w:val="00D23D54"/>
    <w:rsid w:val="00D23F6E"/>
    <w:rsid w:val="00D25BC2"/>
    <w:rsid w:val="00D27883"/>
    <w:rsid w:val="00D27BCE"/>
    <w:rsid w:val="00D303BB"/>
    <w:rsid w:val="00D30485"/>
    <w:rsid w:val="00D3050C"/>
    <w:rsid w:val="00D30A1D"/>
    <w:rsid w:val="00D31BED"/>
    <w:rsid w:val="00D31CDB"/>
    <w:rsid w:val="00D3375E"/>
    <w:rsid w:val="00D33956"/>
    <w:rsid w:val="00D3419D"/>
    <w:rsid w:val="00D341CD"/>
    <w:rsid w:val="00D34248"/>
    <w:rsid w:val="00D346C6"/>
    <w:rsid w:val="00D34A37"/>
    <w:rsid w:val="00D35127"/>
    <w:rsid w:val="00D351E1"/>
    <w:rsid w:val="00D36C29"/>
    <w:rsid w:val="00D36F3C"/>
    <w:rsid w:val="00D37639"/>
    <w:rsid w:val="00D37804"/>
    <w:rsid w:val="00D37911"/>
    <w:rsid w:val="00D37ABF"/>
    <w:rsid w:val="00D40952"/>
    <w:rsid w:val="00D40CF0"/>
    <w:rsid w:val="00D40DA5"/>
    <w:rsid w:val="00D4126F"/>
    <w:rsid w:val="00D41871"/>
    <w:rsid w:val="00D419A6"/>
    <w:rsid w:val="00D41AA6"/>
    <w:rsid w:val="00D41AC7"/>
    <w:rsid w:val="00D422BF"/>
    <w:rsid w:val="00D42971"/>
    <w:rsid w:val="00D42DA8"/>
    <w:rsid w:val="00D433EC"/>
    <w:rsid w:val="00D43879"/>
    <w:rsid w:val="00D43A17"/>
    <w:rsid w:val="00D43C20"/>
    <w:rsid w:val="00D44D39"/>
    <w:rsid w:val="00D44F56"/>
    <w:rsid w:val="00D45598"/>
    <w:rsid w:val="00D45B21"/>
    <w:rsid w:val="00D4644C"/>
    <w:rsid w:val="00D468BC"/>
    <w:rsid w:val="00D46E7C"/>
    <w:rsid w:val="00D4740B"/>
    <w:rsid w:val="00D47557"/>
    <w:rsid w:val="00D47A06"/>
    <w:rsid w:val="00D5011E"/>
    <w:rsid w:val="00D5056C"/>
    <w:rsid w:val="00D5106F"/>
    <w:rsid w:val="00D51306"/>
    <w:rsid w:val="00D51E47"/>
    <w:rsid w:val="00D532AF"/>
    <w:rsid w:val="00D53746"/>
    <w:rsid w:val="00D53E80"/>
    <w:rsid w:val="00D5406C"/>
    <w:rsid w:val="00D55441"/>
    <w:rsid w:val="00D5623A"/>
    <w:rsid w:val="00D5642D"/>
    <w:rsid w:val="00D568AD"/>
    <w:rsid w:val="00D56E21"/>
    <w:rsid w:val="00D575C5"/>
    <w:rsid w:val="00D577B0"/>
    <w:rsid w:val="00D600A7"/>
    <w:rsid w:val="00D60808"/>
    <w:rsid w:val="00D60AE3"/>
    <w:rsid w:val="00D60B5F"/>
    <w:rsid w:val="00D60E8C"/>
    <w:rsid w:val="00D61245"/>
    <w:rsid w:val="00D629D5"/>
    <w:rsid w:val="00D6322D"/>
    <w:rsid w:val="00D635F2"/>
    <w:rsid w:val="00D63B12"/>
    <w:rsid w:val="00D664EC"/>
    <w:rsid w:val="00D66E8E"/>
    <w:rsid w:val="00D6731E"/>
    <w:rsid w:val="00D675EC"/>
    <w:rsid w:val="00D67813"/>
    <w:rsid w:val="00D7023A"/>
    <w:rsid w:val="00D70A44"/>
    <w:rsid w:val="00D70DEF"/>
    <w:rsid w:val="00D719E7"/>
    <w:rsid w:val="00D729C7"/>
    <w:rsid w:val="00D739A2"/>
    <w:rsid w:val="00D7426E"/>
    <w:rsid w:val="00D742A8"/>
    <w:rsid w:val="00D7473F"/>
    <w:rsid w:val="00D748BE"/>
    <w:rsid w:val="00D7490F"/>
    <w:rsid w:val="00D74F32"/>
    <w:rsid w:val="00D75041"/>
    <w:rsid w:val="00D75D9D"/>
    <w:rsid w:val="00D76C99"/>
    <w:rsid w:val="00D76D0D"/>
    <w:rsid w:val="00D772CD"/>
    <w:rsid w:val="00D7766A"/>
    <w:rsid w:val="00D800AC"/>
    <w:rsid w:val="00D806F2"/>
    <w:rsid w:val="00D81122"/>
    <w:rsid w:val="00D811F5"/>
    <w:rsid w:val="00D8152D"/>
    <w:rsid w:val="00D819C0"/>
    <w:rsid w:val="00D81C39"/>
    <w:rsid w:val="00D81CDD"/>
    <w:rsid w:val="00D81D3A"/>
    <w:rsid w:val="00D825C1"/>
    <w:rsid w:val="00D828BC"/>
    <w:rsid w:val="00D832C5"/>
    <w:rsid w:val="00D836AB"/>
    <w:rsid w:val="00D8372D"/>
    <w:rsid w:val="00D83D08"/>
    <w:rsid w:val="00D84A3D"/>
    <w:rsid w:val="00D84D26"/>
    <w:rsid w:val="00D850F6"/>
    <w:rsid w:val="00D85495"/>
    <w:rsid w:val="00D8720A"/>
    <w:rsid w:val="00D87222"/>
    <w:rsid w:val="00D8736A"/>
    <w:rsid w:val="00D874DE"/>
    <w:rsid w:val="00D87A0D"/>
    <w:rsid w:val="00D87D6E"/>
    <w:rsid w:val="00D87F07"/>
    <w:rsid w:val="00D90433"/>
    <w:rsid w:val="00D90C34"/>
    <w:rsid w:val="00D90E0E"/>
    <w:rsid w:val="00D90ED9"/>
    <w:rsid w:val="00D923AA"/>
    <w:rsid w:val="00D924B3"/>
    <w:rsid w:val="00D944EA"/>
    <w:rsid w:val="00D945AE"/>
    <w:rsid w:val="00D94D39"/>
    <w:rsid w:val="00D9557C"/>
    <w:rsid w:val="00D95581"/>
    <w:rsid w:val="00D956F2"/>
    <w:rsid w:val="00D96160"/>
    <w:rsid w:val="00D963A4"/>
    <w:rsid w:val="00D965CB"/>
    <w:rsid w:val="00D96DD3"/>
    <w:rsid w:val="00D9736C"/>
    <w:rsid w:val="00D976BF"/>
    <w:rsid w:val="00DA0022"/>
    <w:rsid w:val="00DA03F9"/>
    <w:rsid w:val="00DA088F"/>
    <w:rsid w:val="00DA0EE5"/>
    <w:rsid w:val="00DA1015"/>
    <w:rsid w:val="00DA1589"/>
    <w:rsid w:val="00DA1CBF"/>
    <w:rsid w:val="00DA2686"/>
    <w:rsid w:val="00DA2FD3"/>
    <w:rsid w:val="00DA32A5"/>
    <w:rsid w:val="00DA3A08"/>
    <w:rsid w:val="00DA416C"/>
    <w:rsid w:val="00DA4456"/>
    <w:rsid w:val="00DA5682"/>
    <w:rsid w:val="00DA6BFD"/>
    <w:rsid w:val="00DA7044"/>
    <w:rsid w:val="00DA7A7D"/>
    <w:rsid w:val="00DB04DC"/>
    <w:rsid w:val="00DB0737"/>
    <w:rsid w:val="00DB0FCF"/>
    <w:rsid w:val="00DB117E"/>
    <w:rsid w:val="00DB1E23"/>
    <w:rsid w:val="00DB2635"/>
    <w:rsid w:val="00DB2F9F"/>
    <w:rsid w:val="00DB3303"/>
    <w:rsid w:val="00DB4799"/>
    <w:rsid w:val="00DB4873"/>
    <w:rsid w:val="00DB4D43"/>
    <w:rsid w:val="00DB52AF"/>
    <w:rsid w:val="00DB570E"/>
    <w:rsid w:val="00DB61DA"/>
    <w:rsid w:val="00DB6CE9"/>
    <w:rsid w:val="00DB749C"/>
    <w:rsid w:val="00DB74A5"/>
    <w:rsid w:val="00DB788D"/>
    <w:rsid w:val="00DB7A39"/>
    <w:rsid w:val="00DB7D64"/>
    <w:rsid w:val="00DC04FE"/>
    <w:rsid w:val="00DC09AF"/>
    <w:rsid w:val="00DC0D11"/>
    <w:rsid w:val="00DC0D60"/>
    <w:rsid w:val="00DC0F51"/>
    <w:rsid w:val="00DC2721"/>
    <w:rsid w:val="00DC281E"/>
    <w:rsid w:val="00DC3222"/>
    <w:rsid w:val="00DC344C"/>
    <w:rsid w:val="00DC420B"/>
    <w:rsid w:val="00DC4329"/>
    <w:rsid w:val="00DC45A0"/>
    <w:rsid w:val="00DC46CB"/>
    <w:rsid w:val="00DC4AD9"/>
    <w:rsid w:val="00DC6397"/>
    <w:rsid w:val="00DC64F6"/>
    <w:rsid w:val="00DC6DB0"/>
    <w:rsid w:val="00DC703D"/>
    <w:rsid w:val="00DC73DA"/>
    <w:rsid w:val="00DC7CBF"/>
    <w:rsid w:val="00DD0A03"/>
    <w:rsid w:val="00DD1259"/>
    <w:rsid w:val="00DD12B2"/>
    <w:rsid w:val="00DD14FD"/>
    <w:rsid w:val="00DD15CF"/>
    <w:rsid w:val="00DD17BA"/>
    <w:rsid w:val="00DD1994"/>
    <w:rsid w:val="00DD1D1E"/>
    <w:rsid w:val="00DD1DD1"/>
    <w:rsid w:val="00DD2455"/>
    <w:rsid w:val="00DD25FC"/>
    <w:rsid w:val="00DD2B65"/>
    <w:rsid w:val="00DD2C1A"/>
    <w:rsid w:val="00DD2C38"/>
    <w:rsid w:val="00DD316C"/>
    <w:rsid w:val="00DD3A55"/>
    <w:rsid w:val="00DD3D54"/>
    <w:rsid w:val="00DD4648"/>
    <w:rsid w:val="00DD481F"/>
    <w:rsid w:val="00DD4AD1"/>
    <w:rsid w:val="00DD4DEA"/>
    <w:rsid w:val="00DD61BC"/>
    <w:rsid w:val="00DD6CCE"/>
    <w:rsid w:val="00DD73E6"/>
    <w:rsid w:val="00DD781D"/>
    <w:rsid w:val="00DE002D"/>
    <w:rsid w:val="00DE032E"/>
    <w:rsid w:val="00DE0CCF"/>
    <w:rsid w:val="00DE1677"/>
    <w:rsid w:val="00DE19BF"/>
    <w:rsid w:val="00DE1E47"/>
    <w:rsid w:val="00DE2149"/>
    <w:rsid w:val="00DE24DC"/>
    <w:rsid w:val="00DE30F6"/>
    <w:rsid w:val="00DE389F"/>
    <w:rsid w:val="00DE3AF5"/>
    <w:rsid w:val="00DE3DAA"/>
    <w:rsid w:val="00DE408D"/>
    <w:rsid w:val="00DE434F"/>
    <w:rsid w:val="00DE43E9"/>
    <w:rsid w:val="00DE4BC2"/>
    <w:rsid w:val="00DE5277"/>
    <w:rsid w:val="00DE5A1D"/>
    <w:rsid w:val="00DE5B8A"/>
    <w:rsid w:val="00DE614D"/>
    <w:rsid w:val="00DE733F"/>
    <w:rsid w:val="00DE7C13"/>
    <w:rsid w:val="00DE7C3C"/>
    <w:rsid w:val="00DF1834"/>
    <w:rsid w:val="00DF1A51"/>
    <w:rsid w:val="00DF1CFA"/>
    <w:rsid w:val="00DF1DEB"/>
    <w:rsid w:val="00DF273A"/>
    <w:rsid w:val="00DF2EBD"/>
    <w:rsid w:val="00DF2F05"/>
    <w:rsid w:val="00DF2FE2"/>
    <w:rsid w:val="00DF32FE"/>
    <w:rsid w:val="00DF3831"/>
    <w:rsid w:val="00DF3DF4"/>
    <w:rsid w:val="00DF4560"/>
    <w:rsid w:val="00DF4ACE"/>
    <w:rsid w:val="00DF4BB1"/>
    <w:rsid w:val="00DF4CD6"/>
    <w:rsid w:val="00DF4FC5"/>
    <w:rsid w:val="00DF5621"/>
    <w:rsid w:val="00DF5B2B"/>
    <w:rsid w:val="00DF6132"/>
    <w:rsid w:val="00DF67CF"/>
    <w:rsid w:val="00DF6B8D"/>
    <w:rsid w:val="00DF6F3F"/>
    <w:rsid w:val="00DF74C1"/>
    <w:rsid w:val="00DF7ED6"/>
    <w:rsid w:val="00E003CE"/>
    <w:rsid w:val="00E01383"/>
    <w:rsid w:val="00E013D6"/>
    <w:rsid w:val="00E015C1"/>
    <w:rsid w:val="00E027AE"/>
    <w:rsid w:val="00E03662"/>
    <w:rsid w:val="00E03720"/>
    <w:rsid w:val="00E03FE7"/>
    <w:rsid w:val="00E042EA"/>
    <w:rsid w:val="00E04BFF"/>
    <w:rsid w:val="00E04E66"/>
    <w:rsid w:val="00E04E92"/>
    <w:rsid w:val="00E05599"/>
    <w:rsid w:val="00E05C5D"/>
    <w:rsid w:val="00E06964"/>
    <w:rsid w:val="00E074A9"/>
    <w:rsid w:val="00E0761B"/>
    <w:rsid w:val="00E10732"/>
    <w:rsid w:val="00E10AB9"/>
    <w:rsid w:val="00E10D09"/>
    <w:rsid w:val="00E10D6E"/>
    <w:rsid w:val="00E10EF6"/>
    <w:rsid w:val="00E11036"/>
    <w:rsid w:val="00E1123C"/>
    <w:rsid w:val="00E11493"/>
    <w:rsid w:val="00E11A27"/>
    <w:rsid w:val="00E11B9C"/>
    <w:rsid w:val="00E11BD2"/>
    <w:rsid w:val="00E11EE7"/>
    <w:rsid w:val="00E1245E"/>
    <w:rsid w:val="00E12B11"/>
    <w:rsid w:val="00E1314B"/>
    <w:rsid w:val="00E144BA"/>
    <w:rsid w:val="00E15723"/>
    <w:rsid w:val="00E161C3"/>
    <w:rsid w:val="00E16679"/>
    <w:rsid w:val="00E16DC4"/>
    <w:rsid w:val="00E17E0B"/>
    <w:rsid w:val="00E2031A"/>
    <w:rsid w:val="00E20611"/>
    <w:rsid w:val="00E20C94"/>
    <w:rsid w:val="00E20DB6"/>
    <w:rsid w:val="00E219DE"/>
    <w:rsid w:val="00E21D15"/>
    <w:rsid w:val="00E224CB"/>
    <w:rsid w:val="00E22D54"/>
    <w:rsid w:val="00E22F9A"/>
    <w:rsid w:val="00E2366F"/>
    <w:rsid w:val="00E23838"/>
    <w:rsid w:val="00E251B8"/>
    <w:rsid w:val="00E255EC"/>
    <w:rsid w:val="00E257A7"/>
    <w:rsid w:val="00E25C02"/>
    <w:rsid w:val="00E25C58"/>
    <w:rsid w:val="00E260B1"/>
    <w:rsid w:val="00E26A6A"/>
    <w:rsid w:val="00E27244"/>
    <w:rsid w:val="00E27ED2"/>
    <w:rsid w:val="00E305EE"/>
    <w:rsid w:val="00E3074F"/>
    <w:rsid w:val="00E30755"/>
    <w:rsid w:val="00E30E57"/>
    <w:rsid w:val="00E30F92"/>
    <w:rsid w:val="00E312CF"/>
    <w:rsid w:val="00E314CB"/>
    <w:rsid w:val="00E31998"/>
    <w:rsid w:val="00E31E10"/>
    <w:rsid w:val="00E3297C"/>
    <w:rsid w:val="00E329B6"/>
    <w:rsid w:val="00E329E7"/>
    <w:rsid w:val="00E32BF2"/>
    <w:rsid w:val="00E32DF1"/>
    <w:rsid w:val="00E331C7"/>
    <w:rsid w:val="00E334AB"/>
    <w:rsid w:val="00E339B0"/>
    <w:rsid w:val="00E33A6F"/>
    <w:rsid w:val="00E34EAC"/>
    <w:rsid w:val="00E354DD"/>
    <w:rsid w:val="00E35BFC"/>
    <w:rsid w:val="00E3696E"/>
    <w:rsid w:val="00E36BA7"/>
    <w:rsid w:val="00E374E3"/>
    <w:rsid w:val="00E378AB"/>
    <w:rsid w:val="00E379A3"/>
    <w:rsid w:val="00E37DA2"/>
    <w:rsid w:val="00E37DD9"/>
    <w:rsid w:val="00E40424"/>
    <w:rsid w:val="00E40516"/>
    <w:rsid w:val="00E40818"/>
    <w:rsid w:val="00E40A38"/>
    <w:rsid w:val="00E40AA1"/>
    <w:rsid w:val="00E40AFB"/>
    <w:rsid w:val="00E411F8"/>
    <w:rsid w:val="00E41999"/>
    <w:rsid w:val="00E42BAB"/>
    <w:rsid w:val="00E4478F"/>
    <w:rsid w:val="00E459BB"/>
    <w:rsid w:val="00E45A22"/>
    <w:rsid w:val="00E463FC"/>
    <w:rsid w:val="00E465D5"/>
    <w:rsid w:val="00E4699C"/>
    <w:rsid w:val="00E46BA8"/>
    <w:rsid w:val="00E478AB"/>
    <w:rsid w:val="00E47964"/>
    <w:rsid w:val="00E47D18"/>
    <w:rsid w:val="00E50A41"/>
    <w:rsid w:val="00E50B49"/>
    <w:rsid w:val="00E5149D"/>
    <w:rsid w:val="00E52DB7"/>
    <w:rsid w:val="00E52FEE"/>
    <w:rsid w:val="00E530B9"/>
    <w:rsid w:val="00E5326B"/>
    <w:rsid w:val="00E53335"/>
    <w:rsid w:val="00E54374"/>
    <w:rsid w:val="00E5467F"/>
    <w:rsid w:val="00E54FAB"/>
    <w:rsid w:val="00E554C8"/>
    <w:rsid w:val="00E5567D"/>
    <w:rsid w:val="00E564B1"/>
    <w:rsid w:val="00E565EE"/>
    <w:rsid w:val="00E566FC"/>
    <w:rsid w:val="00E56BB2"/>
    <w:rsid w:val="00E575A2"/>
    <w:rsid w:val="00E5781A"/>
    <w:rsid w:val="00E6016E"/>
    <w:rsid w:val="00E601BA"/>
    <w:rsid w:val="00E60493"/>
    <w:rsid w:val="00E61141"/>
    <w:rsid w:val="00E613A1"/>
    <w:rsid w:val="00E62069"/>
    <w:rsid w:val="00E62373"/>
    <w:rsid w:val="00E62895"/>
    <w:rsid w:val="00E63DCC"/>
    <w:rsid w:val="00E6418D"/>
    <w:rsid w:val="00E6448D"/>
    <w:rsid w:val="00E64CEB"/>
    <w:rsid w:val="00E65081"/>
    <w:rsid w:val="00E65404"/>
    <w:rsid w:val="00E65824"/>
    <w:rsid w:val="00E65FCA"/>
    <w:rsid w:val="00E66A4A"/>
    <w:rsid w:val="00E66B63"/>
    <w:rsid w:val="00E66B94"/>
    <w:rsid w:val="00E67355"/>
    <w:rsid w:val="00E67B68"/>
    <w:rsid w:val="00E705C3"/>
    <w:rsid w:val="00E70B33"/>
    <w:rsid w:val="00E70D27"/>
    <w:rsid w:val="00E70FAF"/>
    <w:rsid w:val="00E71797"/>
    <w:rsid w:val="00E71C7F"/>
    <w:rsid w:val="00E721BA"/>
    <w:rsid w:val="00E7429D"/>
    <w:rsid w:val="00E746CD"/>
    <w:rsid w:val="00E746F1"/>
    <w:rsid w:val="00E74FF7"/>
    <w:rsid w:val="00E753D8"/>
    <w:rsid w:val="00E75503"/>
    <w:rsid w:val="00E75972"/>
    <w:rsid w:val="00E76AAE"/>
    <w:rsid w:val="00E76C01"/>
    <w:rsid w:val="00E76DF0"/>
    <w:rsid w:val="00E770FF"/>
    <w:rsid w:val="00E80B57"/>
    <w:rsid w:val="00E813B7"/>
    <w:rsid w:val="00E81762"/>
    <w:rsid w:val="00E81960"/>
    <w:rsid w:val="00E8253A"/>
    <w:rsid w:val="00E83799"/>
    <w:rsid w:val="00E83871"/>
    <w:rsid w:val="00E84071"/>
    <w:rsid w:val="00E8428D"/>
    <w:rsid w:val="00E84682"/>
    <w:rsid w:val="00E846B4"/>
    <w:rsid w:val="00E854DA"/>
    <w:rsid w:val="00E859AC"/>
    <w:rsid w:val="00E86807"/>
    <w:rsid w:val="00E869C6"/>
    <w:rsid w:val="00E87306"/>
    <w:rsid w:val="00E877A9"/>
    <w:rsid w:val="00E910DB"/>
    <w:rsid w:val="00E9254D"/>
    <w:rsid w:val="00E92C1F"/>
    <w:rsid w:val="00E93853"/>
    <w:rsid w:val="00E93A9A"/>
    <w:rsid w:val="00E93EDD"/>
    <w:rsid w:val="00E940D6"/>
    <w:rsid w:val="00E9424B"/>
    <w:rsid w:val="00E949C2"/>
    <w:rsid w:val="00E94FAC"/>
    <w:rsid w:val="00E95063"/>
    <w:rsid w:val="00E96239"/>
    <w:rsid w:val="00E9635B"/>
    <w:rsid w:val="00E967AC"/>
    <w:rsid w:val="00EA008A"/>
    <w:rsid w:val="00EA0139"/>
    <w:rsid w:val="00EA11C4"/>
    <w:rsid w:val="00EA1A67"/>
    <w:rsid w:val="00EA1E2A"/>
    <w:rsid w:val="00EA20E2"/>
    <w:rsid w:val="00EA2144"/>
    <w:rsid w:val="00EA2328"/>
    <w:rsid w:val="00EA26EA"/>
    <w:rsid w:val="00EA27FB"/>
    <w:rsid w:val="00EA2A72"/>
    <w:rsid w:val="00EA30D2"/>
    <w:rsid w:val="00EA3C6E"/>
    <w:rsid w:val="00EA4058"/>
    <w:rsid w:val="00EA5BD9"/>
    <w:rsid w:val="00EA5CE4"/>
    <w:rsid w:val="00EA66E5"/>
    <w:rsid w:val="00EA6FED"/>
    <w:rsid w:val="00EA71A8"/>
    <w:rsid w:val="00EA74DC"/>
    <w:rsid w:val="00EA769C"/>
    <w:rsid w:val="00EB0C1D"/>
    <w:rsid w:val="00EB0EB0"/>
    <w:rsid w:val="00EB1D63"/>
    <w:rsid w:val="00EB1DAD"/>
    <w:rsid w:val="00EB20D7"/>
    <w:rsid w:val="00EB227C"/>
    <w:rsid w:val="00EB24F0"/>
    <w:rsid w:val="00EB31F0"/>
    <w:rsid w:val="00EB3555"/>
    <w:rsid w:val="00EB500B"/>
    <w:rsid w:val="00EB52E9"/>
    <w:rsid w:val="00EB5DBC"/>
    <w:rsid w:val="00EB6738"/>
    <w:rsid w:val="00EB6A3E"/>
    <w:rsid w:val="00EB6AF0"/>
    <w:rsid w:val="00EB7A20"/>
    <w:rsid w:val="00EC005D"/>
    <w:rsid w:val="00EC05F4"/>
    <w:rsid w:val="00EC0E08"/>
    <w:rsid w:val="00EC0F8F"/>
    <w:rsid w:val="00EC1631"/>
    <w:rsid w:val="00EC1774"/>
    <w:rsid w:val="00EC1F1D"/>
    <w:rsid w:val="00EC1F27"/>
    <w:rsid w:val="00EC224B"/>
    <w:rsid w:val="00EC2DA7"/>
    <w:rsid w:val="00EC2E4D"/>
    <w:rsid w:val="00EC33AE"/>
    <w:rsid w:val="00EC3428"/>
    <w:rsid w:val="00EC37B2"/>
    <w:rsid w:val="00EC43EA"/>
    <w:rsid w:val="00EC4C36"/>
    <w:rsid w:val="00EC4CC1"/>
    <w:rsid w:val="00EC556D"/>
    <w:rsid w:val="00EC569F"/>
    <w:rsid w:val="00EC799E"/>
    <w:rsid w:val="00EC7DDD"/>
    <w:rsid w:val="00EC7E65"/>
    <w:rsid w:val="00EC7FC6"/>
    <w:rsid w:val="00ED0220"/>
    <w:rsid w:val="00ED09F2"/>
    <w:rsid w:val="00ED0A69"/>
    <w:rsid w:val="00ED0CBC"/>
    <w:rsid w:val="00ED1080"/>
    <w:rsid w:val="00ED1B87"/>
    <w:rsid w:val="00ED2F5A"/>
    <w:rsid w:val="00ED2FDF"/>
    <w:rsid w:val="00ED3720"/>
    <w:rsid w:val="00ED3915"/>
    <w:rsid w:val="00ED39ED"/>
    <w:rsid w:val="00ED45A5"/>
    <w:rsid w:val="00ED4BC8"/>
    <w:rsid w:val="00ED5D9C"/>
    <w:rsid w:val="00ED5EEC"/>
    <w:rsid w:val="00ED691A"/>
    <w:rsid w:val="00ED6D34"/>
    <w:rsid w:val="00ED73AB"/>
    <w:rsid w:val="00ED7C3F"/>
    <w:rsid w:val="00EE0EE0"/>
    <w:rsid w:val="00EE1445"/>
    <w:rsid w:val="00EE1632"/>
    <w:rsid w:val="00EE1652"/>
    <w:rsid w:val="00EE16E7"/>
    <w:rsid w:val="00EE1BC9"/>
    <w:rsid w:val="00EE1FF4"/>
    <w:rsid w:val="00EE26C7"/>
    <w:rsid w:val="00EE36C1"/>
    <w:rsid w:val="00EE419B"/>
    <w:rsid w:val="00EE42E2"/>
    <w:rsid w:val="00EE43FC"/>
    <w:rsid w:val="00EE5667"/>
    <w:rsid w:val="00EE67B7"/>
    <w:rsid w:val="00EE67FE"/>
    <w:rsid w:val="00EE7644"/>
    <w:rsid w:val="00EE781F"/>
    <w:rsid w:val="00EE797B"/>
    <w:rsid w:val="00EE7B78"/>
    <w:rsid w:val="00EF05AC"/>
    <w:rsid w:val="00EF0A55"/>
    <w:rsid w:val="00EF0D97"/>
    <w:rsid w:val="00EF1D84"/>
    <w:rsid w:val="00EF273D"/>
    <w:rsid w:val="00EF2F15"/>
    <w:rsid w:val="00EF36D6"/>
    <w:rsid w:val="00EF3E7C"/>
    <w:rsid w:val="00EF41BB"/>
    <w:rsid w:val="00EF495F"/>
    <w:rsid w:val="00EF50E5"/>
    <w:rsid w:val="00EF51C6"/>
    <w:rsid w:val="00EF51F2"/>
    <w:rsid w:val="00EF568C"/>
    <w:rsid w:val="00EF6059"/>
    <w:rsid w:val="00EF665E"/>
    <w:rsid w:val="00EF6D0F"/>
    <w:rsid w:val="00EF6EFE"/>
    <w:rsid w:val="00EF7161"/>
    <w:rsid w:val="00EF78BC"/>
    <w:rsid w:val="00F009BD"/>
    <w:rsid w:val="00F00AD6"/>
    <w:rsid w:val="00F01EEB"/>
    <w:rsid w:val="00F01FCF"/>
    <w:rsid w:val="00F022F4"/>
    <w:rsid w:val="00F02367"/>
    <w:rsid w:val="00F02CE5"/>
    <w:rsid w:val="00F037E1"/>
    <w:rsid w:val="00F03AA1"/>
    <w:rsid w:val="00F03AEF"/>
    <w:rsid w:val="00F03D97"/>
    <w:rsid w:val="00F040DF"/>
    <w:rsid w:val="00F04124"/>
    <w:rsid w:val="00F05632"/>
    <w:rsid w:val="00F056E6"/>
    <w:rsid w:val="00F060E3"/>
    <w:rsid w:val="00F063CB"/>
    <w:rsid w:val="00F07E3A"/>
    <w:rsid w:val="00F1007F"/>
    <w:rsid w:val="00F113B7"/>
    <w:rsid w:val="00F117A8"/>
    <w:rsid w:val="00F1187B"/>
    <w:rsid w:val="00F11A6F"/>
    <w:rsid w:val="00F11B6A"/>
    <w:rsid w:val="00F12836"/>
    <w:rsid w:val="00F12AF4"/>
    <w:rsid w:val="00F12DA8"/>
    <w:rsid w:val="00F12DC8"/>
    <w:rsid w:val="00F146A8"/>
    <w:rsid w:val="00F15356"/>
    <w:rsid w:val="00F153B8"/>
    <w:rsid w:val="00F15780"/>
    <w:rsid w:val="00F16AB0"/>
    <w:rsid w:val="00F17306"/>
    <w:rsid w:val="00F174B5"/>
    <w:rsid w:val="00F17F2B"/>
    <w:rsid w:val="00F203F3"/>
    <w:rsid w:val="00F20540"/>
    <w:rsid w:val="00F208DC"/>
    <w:rsid w:val="00F20A4F"/>
    <w:rsid w:val="00F21B20"/>
    <w:rsid w:val="00F21B4A"/>
    <w:rsid w:val="00F21DF4"/>
    <w:rsid w:val="00F22362"/>
    <w:rsid w:val="00F22D99"/>
    <w:rsid w:val="00F22ECA"/>
    <w:rsid w:val="00F230AD"/>
    <w:rsid w:val="00F232B1"/>
    <w:rsid w:val="00F23A05"/>
    <w:rsid w:val="00F23B3A"/>
    <w:rsid w:val="00F243B9"/>
    <w:rsid w:val="00F24414"/>
    <w:rsid w:val="00F24986"/>
    <w:rsid w:val="00F26E46"/>
    <w:rsid w:val="00F271EC"/>
    <w:rsid w:val="00F27409"/>
    <w:rsid w:val="00F30223"/>
    <w:rsid w:val="00F316FC"/>
    <w:rsid w:val="00F319C7"/>
    <w:rsid w:val="00F31B06"/>
    <w:rsid w:val="00F31FBB"/>
    <w:rsid w:val="00F3203C"/>
    <w:rsid w:val="00F32608"/>
    <w:rsid w:val="00F3292A"/>
    <w:rsid w:val="00F341A7"/>
    <w:rsid w:val="00F34697"/>
    <w:rsid w:val="00F34A3C"/>
    <w:rsid w:val="00F354FC"/>
    <w:rsid w:val="00F3599C"/>
    <w:rsid w:val="00F35CD9"/>
    <w:rsid w:val="00F36FF0"/>
    <w:rsid w:val="00F3706A"/>
    <w:rsid w:val="00F376B6"/>
    <w:rsid w:val="00F37C9D"/>
    <w:rsid w:val="00F37CD5"/>
    <w:rsid w:val="00F407DC"/>
    <w:rsid w:val="00F41128"/>
    <w:rsid w:val="00F41371"/>
    <w:rsid w:val="00F41459"/>
    <w:rsid w:val="00F4216E"/>
    <w:rsid w:val="00F424CE"/>
    <w:rsid w:val="00F4297D"/>
    <w:rsid w:val="00F43A6E"/>
    <w:rsid w:val="00F43B41"/>
    <w:rsid w:val="00F43BAD"/>
    <w:rsid w:val="00F43D2F"/>
    <w:rsid w:val="00F43FC0"/>
    <w:rsid w:val="00F44190"/>
    <w:rsid w:val="00F44339"/>
    <w:rsid w:val="00F44594"/>
    <w:rsid w:val="00F44962"/>
    <w:rsid w:val="00F44B1C"/>
    <w:rsid w:val="00F44B23"/>
    <w:rsid w:val="00F45648"/>
    <w:rsid w:val="00F45DE8"/>
    <w:rsid w:val="00F460F5"/>
    <w:rsid w:val="00F46C8F"/>
    <w:rsid w:val="00F47384"/>
    <w:rsid w:val="00F474FF"/>
    <w:rsid w:val="00F47873"/>
    <w:rsid w:val="00F4789F"/>
    <w:rsid w:val="00F47CDC"/>
    <w:rsid w:val="00F500D2"/>
    <w:rsid w:val="00F5100B"/>
    <w:rsid w:val="00F52D71"/>
    <w:rsid w:val="00F53247"/>
    <w:rsid w:val="00F5419E"/>
    <w:rsid w:val="00F541B0"/>
    <w:rsid w:val="00F54304"/>
    <w:rsid w:val="00F551E1"/>
    <w:rsid w:val="00F55308"/>
    <w:rsid w:val="00F5557A"/>
    <w:rsid w:val="00F55A82"/>
    <w:rsid w:val="00F55E87"/>
    <w:rsid w:val="00F55F21"/>
    <w:rsid w:val="00F562D5"/>
    <w:rsid w:val="00F57088"/>
    <w:rsid w:val="00F5771D"/>
    <w:rsid w:val="00F57C59"/>
    <w:rsid w:val="00F60318"/>
    <w:rsid w:val="00F60515"/>
    <w:rsid w:val="00F60626"/>
    <w:rsid w:val="00F608D5"/>
    <w:rsid w:val="00F60F7D"/>
    <w:rsid w:val="00F60F8B"/>
    <w:rsid w:val="00F6231B"/>
    <w:rsid w:val="00F6269E"/>
    <w:rsid w:val="00F62BDA"/>
    <w:rsid w:val="00F63466"/>
    <w:rsid w:val="00F63FCA"/>
    <w:rsid w:val="00F656EC"/>
    <w:rsid w:val="00F65D9B"/>
    <w:rsid w:val="00F6604A"/>
    <w:rsid w:val="00F662F7"/>
    <w:rsid w:val="00F6674D"/>
    <w:rsid w:val="00F66F61"/>
    <w:rsid w:val="00F66F88"/>
    <w:rsid w:val="00F67FED"/>
    <w:rsid w:val="00F700AB"/>
    <w:rsid w:val="00F703CB"/>
    <w:rsid w:val="00F70C78"/>
    <w:rsid w:val="00F71181"/>
    <w:rsid w:val="00F7121C"/>
    <w:rsid w:val="00F71AD4"/>
    <w:rsid w:val="00F7279F"/>
    <w:rsid w:val="00F728E3"/>
    <w:rsid w:val="00F72FF9"/>
    <w:rsid w:val="00F734F2"/>
    <w:rsid w:val="00F73C61"/>
    <w:rsid w:val="00F74570"/>
    <w:rsid w:val="00F74B70"/>
    <w:rsid w:val="00F74EB9"/>
    <w:rsid w:val="00F757A0"/>
    <w:rsid w:val="00F75E7E"/>
    <w:rsid w:val="00F7614B"/>
    <w:rsid w:val="00F77075"/>
    <w:rsid w:val="00F8076E"/>
    <w:rsid w:val="00F81070"/>
    <w:rsid w:val="00F815AC"/>
    <w:rsid w:val="00F818E3"/>
    <w:rsid w:val="00F81CD5"/>
    <w:rsid w:val="00F81DA6"/>
    <w:rsid w:val="00F8264F"/>
    <w:rsid w:val="00F8278B"/>
    <w:rsid w:val="00F82B43"/>
    <w:rsid w:val="00F82C98"/>
    <w:rsid w:val="00F8328B"/>
    <w:rsid w:val="00F83F77"/>
    <w:rsid w:val="00F85066"/>
    <w:rsid w:val="00F85BCE"/>
    <w:rsid w:val="00F85E1E"/>
    <w:rsid w:val="00F85F39"/>
    <w:rsid w:val="00F8678F"/>
    <w:rsid w:val="00F869B9"/>
    <w:rsid w:val="00F8754F"/>
    <w:rsid w:val="00F87797"/>
    <w:rsid w:val="00F8783D"/>
    <w:rsid w:val="00F879AF"/>
    <w:rsid w:val="00F87A34"/>
    <w:rsid w:val="00F87BB9"/>
    <w:rsid w:val="00F91130"/>
    <w:rsid w:val="00F9130C"/>
    <w:rsid w:val="00F92516"/>
    <w:rsid w:val="00F929CE"/>
    <w:rsid w:val="00F929EF"/>
    <w:rsid w:val="00F92B3D"/>
    <w:rsid w:val="00F92BD7"/>
    <w:rsid w:val="00F931C5"/>
    <w:rsid w:val="00F932F9"/>
    <w:rsid w:val="00F93412"/>
    <w:rsid w:val="00F955D5"/>
    <w:rsid w:val="00F965E8"/>
    <w:rsid w:val="00F96DEE"/>
    <w:rsid w:val="00F97511"/>
    <w:rsid w:val="00F97A68"/>
    <w:rsid w:val="00F97CB0"/>
    <w:rsid w:val="00FA007A"/>
    <w:rsid w:val="00FA00E8"/>
    <w:rsid w:val="00FA026C"/>
    <w:rsid w:val="00FA0352"/>
    <w:rsid w:val="00FA03B8"/>
    <w:rsid w:val="00FA106C"/>
    <w:rsid w:val="00FA1DB6"/>
    <w:rsid w:val="00FA1FFF"/>
    <w:rsid w:val="00FA207C"/>
    <w:rsid w:val="00FA25B7"/>
    <w:rsid w:val="00FA36AC"/>
    <w:rsid w:val="00FA3B86"/>
    <w:rsid w:val="00FA403B"/>
    <w:rsid w:val="00FA43D4"/>
    <w:rsid w:val="00FA5706"/>
    <w:rsid w:val="00FA5E55"/>
    <w:rsid w:val="00FA7550"/>
    <w:rsid w:val="00FB06D3"/>
    <w:rsid w:val="00FB0903"/>
    <w:rsid w:val="00FB13C4"/>
    <w:rsid w:val="00FB13F8"/>
    <w:rsid w:val="00FB191B"/>
    <w:rsid w:val="00FB204E"/>
    <w:rsid w:val="00FB2586"/>
    <w:rsid w:val="00FB26D3"/>
    <w:rsid w:val="00FB2FC9"/>
    <w:rsid w:val="00FB34FF"/>
    <w:rsid w:val="00FB390E"/>
    <w:rsid w:val="00FB46CC"/>
    <w:rsid w:val="00FB58BE"/>
    <w:rsid w:val="00FB5A1B"/>
    <w:rsid w:val="00FB5AE4"/>
    <w:rsid w:val="00FB6040"/>
    <w:rsid w:val="00FB6563"/>
    <w:rsid w:val="00FB6FE2"/>
    <w:rsid w:val="00FB7EE4"/>
    <w:rsid w:val="00FC0043"/>
    <w:rsid w:val="00FC0F02"/>
    <w:rsid w:val="00FC15D1"/>
    <w:rsid w:val="00FC20B0"/>
    <w:rsid w:val="00FC24BE"/>
    <w:rsid w:val="00FC2D61"/>
    <w:rsid w:val="00FC2DDA"/>
    <w:rsid w:val="00FC37DF"/>
    <w:rsid w:val="00FC3946"/>
    <w:rsid w:val="00FC3A7E"/>
    <w:rsid w:val="00FC3DE3"/>
    <w:rsid w:val="00FC3E88"/>
    <w:rsid w:val="00FC4087"/>
    <w:rsid w:val="00FC445C"/>
    <w:rsid w:val="00FC4695"/>
    <w:rsid w:val="00FC4FFE"/>
    <w:rsid w:val="00FC5CD1"/>
    <w:rsid w:val="00FC5DE4"/>
    <w:rsid w:val="00FC6A26"/>
    <w:rsid w:val="00FC74BA"/>
    <w:rsid w:val="00FC7CAA"/>
    <w:rsid w:val="00FC7F3F"/>
    <w:rsid w:val="00FD0392"/>
    <w:rsid w:val="00FD0720"/>
    <w:rsid w:val="00FD12BD"/>
    <w:rsid w:val="00FD18BE"/>
    <w:rsid w:val="00FD1C5E"/>
    <w:rsid w:val="00FD2B26"/>
    <w:rsid w:val="00FD307C"/>
    <w:rsid w:val="00FD371A"/>
    <w:rsid w:val="00FD3762"/>
    <w:rsid w:val="00FD4331"/>
    <w:rsid w:val="00FD4FD5"/>
    <w:rsid w:val="00FD53D3"/>
    <w:rsid w:val="00FD56A4"/>
    <w:rsid w:val="00FD5773"/>
    <w:rsid w:val="00FD595C"/>
    <w:rsid w:val="00FD6131"/>
    <w:rsid w:val="00FD6189"/>
    <w:rsid w:val="00FD6540"/>
    <w:rsid w:val="00FD6A40"/>
    <w:rsid w:val="00FD7DB7"/>
    <w:rsid w:val="00FE044D"/>
    <w:rsid w:val="00FE0556"/>
    <w:rsid w:val="00FE19E4"/>
    <w:rsid w:val="00FE1A6D"/>
    <w:rsid w:val="00FE3B31"/>
    <w:rsid w:val="00FE3D4F"/>
    <w:rsid w:val="00FE42F7"/>
    <w:rsid w:val="00FE4604"/>
    <w:rsid w:val="00FE47E8"/>
    <w:rsid w:val="00FE4896"/>
    <w:rsid w:val="00FE4907"/>
    <w:rsid w:val="00FE493D"/>
    <w:rsid w:val="00FE4FB4"/>
    <w:rsid w:val="00FE5183"/>
    <w:rsid w:val="00FE5644"/>
    <w:rsid w:val="00FE56E3"/>
    <w:rsid w:val="00FE588E"/>
    <w:rsid w:val="00FE6472"/>
    <w:rsid w:val="00FE649E"/>
    <w:rsid w:val="00FE76EC"/>
    <w:rsid w:val="00FE77A8"/>
    <w:rsid w:val="00FF0DA6"/>
    <w:rsid w:val="00FF168F"/>
    <w:rsid w:val="00FF1B80"/>
    <w:rsid w:val="00FF243F"/>
    <w:rsid w:val="00FF2EF0"/>
    <w:rsid w:val="00FF306F"/>
    <w:rsid w:val="00FF4074"/>
    <w:rsid w:val="00FF408E"/>
    <w:rsid w:val="00FF4261"/>
    <w:rsid w:val="00FF4590"/>
    <w:rsid w:val="00FF4747"/>
    <w:rsid w:val="00FF484F"/>
    <w:rsid w:val="00FF4A39"/>
    <w:rsid w:val="00FF5D82"/>
    <w:rsid w:val="00FF6F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93DB630"/>
  <w15:docId w15:val="{A43B8864-CD03-4B51-B414-BD374CE8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2FD7"/>
    <w:rPr>
      <w:sz w:val="24"/>
      <w:szCs w:val="24"/>
    </w:rPr>
  </w:style>
  <w:style w:type="paragraph" w:styleId="Titolo1">
    <w:name w:val="heading 1"/>
    <w:basedOn w:val="Normale"/>
    <w:next w:val="Normale"/>
    <w:link w:val="Titolo1Carattere"/>
    <w:uiPriority w:val="99"/>
    <w:qFormat/>
    <w:rsid w:val="00FB34FF"/>
    <w:pPr>
      <w:keepNext/>
      <w:spacing w:after="120"/>
      <w:jc w:val="both"/>
      <w:outlineLvl w:val="0"/>
    </w:pPr>
    <w:rPr>
      <w:rFonts w:ascii="Verdana" w:hAnsi="Verdana"/>
      <w:b/>
      <w:bCs/>
      <w:sz w:val="22"/>
    </w:rPr>
  </w:style>
  <w:style w:type="paragraph" w:styleId="Titolo2">
    <w:name w:val="heading 2"/>
    <w:basedOn w:val="Normale"/>
    <w:link w:val="Titolo2Carattere"/>
    <w:uiPriority w:val="99"/>
    <w:qFormat/>
    <w:rsid w:val="00FB34FF"/>
    <w:pPr>
      <w:spacing w:after="120"/>
      <w:outlineLvl w:val="1"/>
    </w:pPr>
    <w:rPr>
      <w:rFonts w:ascii="Verdana" w:hAnsi="Verdana"/>
      <w:bCs/>
      <w:i/>
      <w:sz w:val="21"/>
      <w:szCs w:val="36"/>
    </w:rPr>
  </w:style>
  <w:style w:type="paragraph" w:styleId="Titolo3">
    <w:name w:val="heading 3"/>
    <w:basedOn w:val="Normale"/>
    <w:link w:val="Titolo3Carattere"/>
    <w:qFormat/>
    <w:rsid w:val="00FB34FF"/>
    <w:pPr>
      <w:spacing w:before="100" w:beforeAutospacing="1" w:after="100" w:afterAutospacing="1"/>
      <w:outlineLvl w:val="2"/>
    </w:pPr>
    <w:rPr>
      <w:b/>
      <w:bCs/>
      <w:sz w:val="27"/>
      <w:szCs w:val="27"/>
    </w:rPr>
  </w:style>
  <w:style w:type="paragraph" w:styleId="Titolo4">
    <w:name w:val="heading 4"/>
    <w:basedOn w:val="Normale"/>
    <w:next w:val="Normale"/>
    <w:link w:val="Titolo4Carattere"/>
    <w:uiPriority w:val="99"/>
    <w:qFormat/>
    <w:rsid w:val="0007346F"/>
    <w:pPr>
      <w:keepNext/>
      <w:jc w:val="center"/>
      <w:outlineLvl w:val="3"/>
    </w:pPr>
    <w:rPr>
      <w:rFonts w:ascii="Calibri" w:hAnsi="Calibri"/>
      <w:b/>
      <w:bCs/>
      <w:sz w:val="28"/>
      <w:szCs w:val="28"/>
    </w:rPr>
  </w:style>
  <w:style w:type="paragraph" w:styleId="Titolo5">
    <w:name w:val="heading 5"/>
    <w:basedOn w:val="Normale"/>
    <w:next w:val="Normale"/>
    <w:link w:val="Titolo5Carattere"/>
    <w:uiPriority w:val="99"/>
    <w:unhideWhenUsed/>
    <w:qFormat/>
    <w:rsid w:val="0007346F"/>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9"/>
    <w:qFormat/>
    <w:rsid w:val="00FB34FF"/>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FB34FF"/>
    <w:pPr>
      <w:spacing w:before="100" w:beforeAutospacing="1" w:after="100" w:afterAutospacing="1"/>
    </w:pPr>
  </w:style>
  <w:style w:type="paragraph" w:styleId="Intestazione">
    <w:name w:val="header"/>
    <w:basedOn w:val="Normale"/>
    <w:link w:val="IntestazioneCarattere"/>
    <w:uiPriority w:val="99"/>
    <w:rsid w:val="00FB34FF"/>
    <w:pPr>
      <w:tabs>
        <w:tab w:val="center" w:pos="4819"/>
        <w:tab w:val="right" w:pos="9638"/>
      </w:tabs>
      <w:jc w:val="both"/>
    </w:pPr>
    <w:rPr>
      <w:rFonts w:ascii="Garamond" w:hAnsi="Garamond"/>
      <w:sz w:val="28"/>
    </w:rPr>
  </w:style>
  <w:style w:type="paragraph" w:styleId="Pidipagina">
    <w:name w:val="footer"/>
    <w:basedOn w:val="Normale"/>
    <w:link w:val="PidipaginaCarattere"/>
    <w:uiPriority w:val="99"/>
    <w:rsid w:val="00FB34FF"/>
    <w:pPr>
      <w:tabs>
        <w:tab w:val="center" w:pos="4819"/>
        <w:tab w:val="right" w:pos="9638"/>
      </w:tabs>
      <w:jc w:val="both"/>
    </w:pPr>
    <w:rPr>
      <w:rFonts w:ascii="Garamond" w:hAnsi="Garamond"/>
      <w:sz w:val="28"/>
    </w:rPr>
  </w:style>
  <w:style w:type="character" w:styleId="Numeropagina">
    <w:name w:val="page number"/>
    <w:basedOn w:val="Carpredefinitoparagrafo"/>
    <w:uiPriority w:val="99"/>
    <w:rsid w:val="00FB34FF"/>
  </w:style>
  <w:style w:type="paragraph" w:styleId="Testonotaapidipagina">
    <w:name w:val="footnote text"/>
    <w:basedOn w:val="Normale"/>
    <w:link w:val="TestonotaapidipaginaCarattere"/>
    <w:uiPriority w:val="99"/>
    <w:semiHidden/>
    <w:rsid w:val="00FB34FF"/>
    <w:rPr>
      <w:sz w:val="20"/>
      <w:szCs w:val="20"/>
    </w:rPr>
  </w:style>
  <w:style w:type="character" w:styleId="Rimandonotaapidipagina">
    <w:name w:val="footnote reference"/>
    <w:uiPriority w:val="99"/>
    <w:rsid w:val="00FB34FF"/>
    <w:rPr>
      <w:vertAlign w:val="superscript"/>
    </w:rPr>
  </w:style>
  <w:style w:type="paragraph" w:customStyle="1" w:styleId="vedianche">
    <w:name w:val="vedianche"/>
    <w:basedOn w:val="Normale"/>
    <w:rsid w:val="00FB34FF"/>
    <w:pPr>
      <w:spacing w:before="100" w:beforeAutospacing="1" w:after="100" w:afterAutospacing="1"/>
    </w:pPr>
  </w:style>
  <w:style w:type="character" w:styleId="Collegamentoipertestuale">
    <w:name w:val="Hyperlink"/>
    <w:rsid w:val="00FB34FF"/>
    <w:rPr>
      <w:color w:val="0000FF"/>
      <w:u w:val="single"/>
    </w:rPr>
  </w:style>
  <w:style w:type="paragraph" w:styleId="Rientrocorpodeltesto">
    <w:name w:val="Body Text Indent"/>
    <w:basedOn w:val="Normale"/>
    <w:link w:val="RientrocorpodeltestoCarattere"/>
    <w:uiPriority w:val="99"/>
    <w:rsid w:val="00FB34FF"/>
    <w:pPr>
      <w:spacing w:after="120"/>
      <w:ind w:left="283"/>
      <w:jc w:val="both"/>
    </w:pPr>
    <w:rPr>
      <w:rFonts w:ascii="Verdana" w:hAnsi="Verdana"/>
      <w:sz w:val="22"/>
    </w:rPr>
  </w:style>
  <w:style w:type="paragraph" w:styleId="Corpotesto">
    <w:name w:val="Body Text"/>
    <w:basedOn w:val="Normale"/>
    <w:link w:val="CorpotestoCarattere"/>
    <w:uiPriority w:val="99"/>
    <w:rsid w:val="00FB34FF"/>
    <w:pPr>
      <w:spacing w:line="360" w:lineRule="auto"/>
    </w:pPr>
    <w:rPr>
      <w:rFonts w:ascii="Arial" w:hAnsi="Arial" w:cs="Arial"/>
      <w:b/>
      <w:bCs/>
      <w:szCs w:val="23"/>
    </w:rPr>
  </w:style>
  <w:style w:type="character" w:customStyle="1" w:styleId="apple-style-span">
    <w:name w:val="apple-style-span"/>
    <w:basedOn w:val="Carpredefinitoparagrafo"/>
    <w:rsid w:val="00FB34FF"/>
  </w:style>
  <w:style w:type="paragraph" w:styleId="Corpodeltesto2">
    <w:name w:val="Body Text 2"/>
    <w:basedOn w:val="Normale"/>
    <w:rsid w:val="00FB34FF"/>
    <w:pPr>
      <w:spacing w:after="80" w:line="360" w:lineRule="auto"/>
      <w:jc w:val="both"/>
    </w:pPr>
    <w:rPr>
      <w:rFonts w:ascii="Arial" w:hAnsi="Arial" w:cs="Arial"/>
      <w:sz w:val="23"/>
      <w:szCs w:val="23"/>
    </w:rPr>
  </w:style>
  <w:style w:type="character" w:customStyle="1" w:styleId="apple-converted-space">
    <w:name w:val="apple-converted-space"/>
    <w:basedOn w:val="Carpredefinitoparagrafo"/>
    <w:rsid w:val="00FB34FF"/>
  </w:style>
  <w:style w:type="paragraph" w:styleId="Rientrocorpodeltesto2">
    <w:name w:val="Body Text Indent 2"/>
    <w:basedOn w:val="Normale"/>
    <w:rsid w:val="00FB34FF"/>
    <w:pPr>
      <w:spacing w:after="120"/>
      <w:ind w:left="360"/>
      <w:jc w:val="both"/>
    </w:pPr>
    <w:rPr>
      <w:rFonts w:ascii="Arial" w:hAnsi="Arial" w:cs="Arial"/>
      <w:sz w:val="23"/>
      <w:szCs w:val="23"/>
    </w:rPr>
  </w:style>
  <w:style w:type="paragraph" w:styleId="Rientrocorpodeltesto3">
    <w:name w:val="Body Text Indent 3"/>
    <w:basedOn w:val="Normale"/>
    <w:rsid w:val="00FB34FF"/>
    <w:pPr>
      <w:spacing w:after="120"/>
      <w:ind w:left="540"/>
      <w:jc w:val="both"/>
    </w:pPr>
    <w:rPr>
      <w:rFonts w:ascii="Arial" w:hAnsi="Arial" w:cs="Arial"/>
      <w:sz w:val="23"/>
      <w:szCs w:val="23"/>
    </w:rPr>
  </w:style>
  <w:style w:type="character" w:styleId="Enfasigrassetto">
    <w:name w:val="Strong"/>
    <w:qFormat/>
    <w:rsid w:val="00FB34FF"/>
    <w:rPr>
      <w:b/>
      <w:bCs/>
    </w:rPr>
  </w:style>
  <w:style w:type="character" w:styleId="Enfasicorsivo">
    <w:name w:val="Emphasis"/>
    <w:uiPriority w:val="99"/>
    <w:qFormat/>
    <w:rsid w:val="00FB34FF"/>
    <w:rPr>
      <w:i/>
      <w:iCs/>
    </w:rPr>
  </w:style>
  <w:style w:type="paragraph" w:styleId="Testonormale">
    <w:name w:val="Plain Text"/>
    <w:basedOn w:val="Normale"/>
    <w:link w:val="TestonormaleCarattere"/>
    <w:uiPriority w:val="99"/>
    <w:rsid w:val="00FB34FF"/>
    <w:rPr>
      <w:rFonts w:ascii="Courier New" w:hAnsi="Courier New" w:cs="Courier New"/>
      <w:sz w:val="20"/>
      <w:szCs w:val="20"/>
    </w:rPr>
  </w:style>
  <w:style w:type="paragraph" w:styleId="Corpodeltesto3">
    <w:name w:val="Body Text 3"/>
    <w:basedOn w:val="Normale"/>
    <w:link w:val="Corpodeltesto3Carattere"/>
    <w:uiPriority w:val="99"/>
    <w:rsid w:val="00FB34FF"/>
    <w:pPr>
      <w:spacing w:after="120"/>
    </w:pPr>
    <w:rPr>
      <w:sz w:val="16"/>
      <w:szCs w:val="16"/>
    </w:rPr>
  </w:style>
  <w:style w:type="paragraph" w:customStyle="1" w:styleId="TAVOLARapann">
    <w:name w:val="TAVOLA Rapann"/>
    <w:next w:val="Normale"/>
    <w:link w:val="TAVOLARapannCarattere"/>
    <w:rsid w:val="00FB34FF"/>
    <w:pPr>
      <w:tabs>
        <w:tab w:val="left" w:pos="1276"/>
      </w:tabs>
      <w:spacing w:line="200" w:lineRule="exact"/>
      <w:ind w:left="1276" w:hanging="1276"/>
      <w:jc w:val="both"/>
    </w:pPr>
    <w:rPr>
      <w:rFonts w:ascii="Arial" w:hAnsi="Arial"/>
      <w:b/>
      <w:bCs/>
      <w:sz w:val="18"/>
    </w:rPr>
  </w:style>
  <w:style w:type="character" w:customStyle="1" w:styleId="TAVOLARapannCarattere">
    <w:name w:val="TAVOLA Rapann Carattere"/>
    <w:link w:val="TAVOLARapann"/>
    <w:rsid w:val="00FB34FF"/>
    <w:rPr>
      <w:rFonts w:ascii="Arial" w:hAnsi="Arial"/>
      <w:b/>
      <w:bCs/>
      <w:sz w:val="18"/>
      <w:lang w:val="it-IT" w:eastAsia="it-IT" w:bidi="ar-SA"/>
    </w:rPr>
  </w:style>
  <w:style w:type="paragraph" w:customStyle="1" w:styleId="tesina">
    <w:name w:val="tesina"/>
    <w:basedOn w:val="Normale"/>
    <w:rsid w:val="00FB34FF"/>
    <w:pPr>
      <w:widowControl w:val="0"/>
      <w:autoSpaceDE w:val="0"/>
      <w:autoSpaceDN w:val="0"/>
      <w:adjustRightInd w:val="0"/>
      <w:spacing w:line="285" w:lineRule="atLeast"/>
      <w:ind w:left="390" w:right="390"/>
      <w:jc w:val="both"/>
    </w:pPr>
  </w:style>
  <w:style w:type="paragraph" w:customStyle="1" w:styleId="desc">
    <w:name w:val="desc"/>
    <w:basedOn w:val="Normale"/>
    <w:rsid w:val="00FB34FF"/>
    <w:pPr>
      <w:spacing w:before="100" w:beforeAutospacing="1" w:after="100" w:afterAutospacing="1"/>
    </w:pPr>
  </w:style>
  <w:style w:type="character" w:customStyle="1" w:styleId="glossario">
    <w:name w:val="glossario"/>
    <w:basedOn w:val="Carpredefinitoparagrafo"/>
    <w:rsid w:val="00FB34FF"/>
  </w:style>
  <w:style w:type="paragraph" w:styleId="Testofumetto">
    <w:name w:val="Balloon Text"/>
    <w:basedOn w:val="Normale"/>
    <w:link w:val="TestofumettoCarattere"/>
    <w:uiPriority w:val="99"/>
    <w:rsid w:val="00B506F1"/>
    <w:rPr>
      <w:rFonts w:ascii="Tahoma" w:hAnsi="Tahoma"/>
      <w:sz w:val="16"/>
      <w:szCs w:val="16"/>
      <w:lang w:val="x-none" w:eastAsia="x-none"/>
    </w:rPr>
  </w:style>
  <w:style w:type="character" w:customStyle="1" w:styleId="TestofumettoCarattere">
    <w:name w:val="Testo fumetto Carattere"/>
    <w:link w:val="Testofumetto"/>
    <w:uiPriority w:val="99"/>
    <w:rsid w:val="00B506F1"/>
    <w:rPr>
      <w:rFonts w:ascii="Tahoma" w:hAnsi="Tahoma" w:cs="Tahoma"/>
      <w:sz w:val="16"/>
      <w:szCs w:val="16"/>
    </w:rPr>
  </w:style>
  <w:style w:type="character" w:styleId="Rimandocommento">
    <w:name w:val="annotation reference"/>
    <w:uiPriority w:val="99"/>
    <w:rsid w:val="002A2D78"/>
    <w:rPr>
      <w:sz w:val="16"/>
      <w:szCs w:val="16"/>
    </w:rPr>
  </w:style>
  <w:style w:type="paragraph" w:styleId="Testocommento">
    <w:name w:val="annotation text"/>
    <w:basedOn w:val="Normale"/>
    <w:link w:val="TestocommentoCarattere"/>
    <w:uiPriority w:val="99"/>
    <w:rsid w:val="002A2D78"/>
    <w:rPr>
      <w:sz w:val="20"/>
      <w:szCs w:val="20"/>
    </w:rPr>
  </w:style>
  <w:style w:type="character" w:customStyle="1" w:styleId="TestocommentoCarattere">
    <w:name w:val="Testo commento Carattere"/>
    <w:basedOn w:val="Carpredefinitoparagrafo"/>
    <w:link w:val="Testocommento"/>
    <w:uiPriority w:val="99"/>
    <w:rsid w:val="002A2D78"/>
  </w:style>
  <w:style w:type="paragraph" w:styleId="Soggettocommento">
    <w:name w:val="annotation subject"/>
    <w:basedOn w:val="Testocommento"/>
    <w:next w:val="Testocommento"/>
    <w:link w:val="SoggettocommentoCarattere"/>
    <w:uiPriority w:val="99"/>
    <w:rsid w:val="002A2D78"/>
    <w:rPr>
      <w:b/>
      <w:bCs/>
    </w:rPr>
  </w:style>
  <w:style w:type="character" w:customStyle="1" w:styleId="SoggettocommentoCarattere">
    <w:name w:val="Soggetto commento Carattere"/>
    <w:link w:val="Soggettocommento"/>
    <w:uiPriority w:val="99"/>
    <w:rsid w:val="002A2D78"/>
    <w:rPr>
      <w:b/>
      <w:bCs/>
    </w:rPr>
  </w:style>
  <w:style w:type="paragraph" w:styleId="Paragrafoelenco">
    <w:name w:val="List Paragraph"/>
    <w:basedOn w:val="Normale"/>
    <w:uiPriority w:val="99"/>
    <w:qFormat/>
    <w:rsid w:val="009C4DFF"/>
    <w:pPr>
      <w:ind w:left="720"/>
      <w:contextualSpacing/>
    </w:pPr>
  </w:style>
  <w:style w:type="character" w:customStyle="1" w:styleId="PidipaginaCarattere">
    <w:name w:val="Piè di pagina Carattere"/>
    <w:basedOn w:val="Carpredefinitoparagrafo"/>
    <w:link w:val="Pidipagina"/>
    <w:uiPriority w:val="99"/>
    <w:rsid w:val="00CC37A8"/>
    <w:rPr>
      <w:rFonts w:ascii="Garamond" w:hAnsi="Garamond"/>
      <w:sz w:val="28"/>
      <w:szCs w:val="24"/>
    </w:rPr>
  </w:style>
  <w:style w:type="character" w:customStyle="1" w:styleId="mw-headline">
    <w:name w:val="mw-headline"/>
    <w:basedOn w:val="Carpredefinitoparagrafo"/>
    <w:rsid w:val="00CF66EE"/>
  </w:style>
  <w:style w:type="table" w:styleId="Grigliatabella">
    <w:name w:val="Table Grid"/>
    <w:basedOn w:val="Tabellanormale"/>
    <w:uiPriority w:val="59"/>
    <w:rsid w:val="00614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B47ED"/>
    <w:rPr>
      <w:sz w:val="24"/>
      <w:szCs w:val="24"/>
    </w:rPr>
  </w:style>
  <w:style w:type="character" w:customStyle="1" w:styleId="IntestazioneCarattere">
    <w:name w:val="Intestazione Carattere"/>
    <w:basedOn w:val="Carpredefinitoparagrafo"/>
    <w:link w:val="Intestazione"/>
    <w:uiPriority w:val="99"/>
    <w:rsid w:val="00DF2FE2"/>
    <w:rPr>
      <w:rFonts w:ascii="Garamond" w:hAnsi="Garamond"/>
      <w:sz w:val="28"/>
      <w:szCs w:val="24"/>
    </w:rPr>
  </w:style>
  <w:style w:type="character" w:customStyle="1" w:styleId="TestonotaapidipaginaCarattere">
    <w:name w:val="Testo nota a piè di pagina Carattere"/>
    <w:basedOn w:val="Carpredefinitoparagrafo"/>
    <w:link w:val="Testonotaapidipagina"/>
    <w:uiPriority w:val="99"/>
    <w:semiHidden/>
    <w:rsid w:val="00DD1259"/>
  </w:style>
  <w:style w:type="paragraph" w:styleId="Testonotadichiusura">
    <w:name w:val="endnote text"/>
    <w:basedOn w:val="Normale"/>
    <w:link w:val="TestonotadichiusuraCarattere"/>
    <w:unhideWhenUsed/>
    <w:rsid w:val="00C91EBC"/>
    <w:rPr>
      <w:sz w:val="20"/>
      <w:szCs w:val="20"/>
    </w:rPr>
  </w:style>
  <w:style w:type="character" w:customStyle="1" w:styleId="TestonotadichiusuraCarattere">
    <w:name w:val="Testo nota di chiusura Carattere"/>
    <w:basedOn w:val="Carpredefinitoparagrafo"/>
    <w:link w:val="Testonotadichiusura"/>
    <w:rsid w:val="00C91EBC"/>
  </w:style>
  <w:style w:type="character" w:styleId="Rimandonotadichiusura">
    <w:name w:val="endnote reference"/>
    <w:basedOn w:val="Carpredefinitoparagrafo"/>
    <w:uiPriority w:val="99"/>
    <w:semiHidden/>
    <w:unhideWhenUsed/>
    <w:rsid w:val="00C91EBC"/>
    <w:rPr>
      <w:vertAlign w:val="superscript"/>
    </w:rPr>
  </w:style>
  <w:style w:type="paragraph" w:customStyle="1" w:styleId="Default">
    <w:name w:val="Default"/>
    <w:rsid w:val="00A2532B"/>
    <w:pPr>
      <w:autoSpaceDE w:val="0"/>
      <w:autoSpaceDN w:val="0"/>
      <w:adjustRightInd w:val="0"/>
    </w:pPr>
    <w:rPr>
      <w:color w:val="000000"/>
      <w:sz w:val="24"/>
      <w:szCs w:val="24"/>
    </w:rPr>
  </w:style>
  <w:style w:type="character" w:customStyle="1" w:styleId="Titolo5Carattere">
    <w:name w:val="Titolo 5 Carattere"/>
    <w:basedOn w:val="Carpredefinitoparagrafo"/>
    <w:link w:val="Titolo5"/>
    <w:uiPriority w:val="99"/>
    <w:semiHidden/>
    <w:rsid w:val="0007346F"/>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9"/>
    <w:rsid w:val="0007346F"/>
    <w:rPr>
      <w:rFonts w:ascii="Calibri" w:hAnsi="Calibri"/>
      <w:b/>
      <w:bCs/>
      <w:sz w:val="28"/>
      <w:szCs w:val="28"/>
    </w:rPr>
  </w:style>
  <w:style w:type="character" w:customStyle="1" w:styleId="Titolo1Carattere">
    <w:name w:val="Titolo 1 Carattere"/>
    <w:basedOn w:val="Carpredefinitoparagrafo"/>
    <w:link w:val="Titolo1"/>
    <w:uiPriority w:val="99"/>
    <w:locked/>
    <w:rsid w:val="0007346F"/>
    <w:rPr>
      <w:rFonts w:ascii="Verdana" w:hAnsi="Verdana"/>
      <w:b/>
      <w:bCs/>
      <w:sz w:val="22"/>
      <w:szCs w:val="24"/>
    </w:rPr>
  </w:style>
  <w:style w:type="character" w:customStyle="1" w:styleId="Titolo2Carattere">
    <w:name w:val="Titolo 2 Carattere"/>
    <w:basedOn w:val="Carpredefinitoparagrafo"/>
    <w:link w:val="Titolo2"/>
    <w:uiPriority w:val="99"/>
    <w:locked/>
    <w:rsid w:val="0007346F"/>
    <w:rPr>
      <w:rFonts w:ascii="Verdana" w:hAnsi="Verdana"/>
      <w:bCs/>
      <w:i/>
      <w:sz w:val="21"/>
      <w:szCs w:val="36"/>
    </w:rPr>
  </w:style>
  <w:style w:type="character" w:customStyle="1" w:styleId="Titolo3Carattere">
    <w:name w:val="Titolo 3 Carattere"/>
    <w:basedOn w:val="Carpredefinitoparagrafo"/>
    <w:link w:val="Titolo3"/>
    <w:locked/>
    <w:rsid w:val="0007346F"/>
    <w:rPr>
      <w:b/>
      <w:bCs/>
      <w:sz w:val="27"/>
      <w:szCs w:val="27"/>
    </w:rPr>
  </w:style>
  <w:style w:type="character" w:customStyle="1" w:styleId="Titolo6Carattere">
    <w:name w:val="Titolo 6 Carattere"/>
    <w:basedOn w:val="Carpredefinitoparagrafo"/>
    <w:link w:val="Titolo6"/>
    <w:uiPriority w:val="99"/>
    <w:locked/>
    <w:rsid w:val="0007346F"/>
    <w:rPr>
      <w:b/>
      <w:bCs/>
      <w:sz w:val="22"/>
      <w:szCs w:val="22"/>
    </w:rPr>
  </w:style>
  <w:style w:type="character" w:customStyle="1" w:styleId="CorpotestoCarattere">
    <w:name w:val="Corpo testo Carattere"/>
    <w:basedOn w:val="Carpredefinitoparagrafo"/>
    <w:link w:val="Corpotesto"/>
    <w:uiPriority w:val="99"/>
    <w:locked/>
    <w:rsid w:val="0007346F"/>
    <w:rPr>
      <w:rFonts w:ascii="Arial" w:hAnsi="Arial" w:cs="Arial"/>
      <w:b/>
      <w:bCs/>
      <w:sz w:val="24"/>
      <w:szCs w:val="23"/>
    </w:rPr>
  </w:style>
  <w:style w:type="character" w:customStyle="1" w:styleId="Corpodeltesto3Carattere">
    <w:name w:val="Corpo del testo 3 Carattere"/>
    <w:basedOn w:val="Carpredefinitoparagrafo"/>
    <w:link w:val="Corpodeltesto3"/>
    <w:uiPriority w:val="99"/>
    <w:locked/>
    <w:rsid w:val="0007346F"/>
    <w:rPr>
      <w:sz w:val="16"/>
      <w:szCs w:val="16"/>
    </w:rPr>
  </w:style>
  <w:style w:type="paragraph" w:styleId="Mappadocumento">
    <w:name w:val="Document Map"/>
    <w:basedOn w:val="Normale"/>
    <w:link w:val="MappadocumentoCarattere"/>
    <w:uiPriority w:val="99"/>
    <w:semiHidden/>
    <w:rsid w:val="0007346F"/>
    <w:pPr>
      <w:shd w:val="clear" w:color="auto" w:fill="000080"/>
    </w:pPr>
    <w:rPr>
      <w:sz w:val="2"/>
      <w:szCs w:val="2"/>
    </w:rPr>
  </w:style>
  <w:style w:type="character" w:customStyle="1" w:styleId="MappadocumentoCarattere">
    <w:name w:val="Mappa documento Carattere"/>
    <w:basedOn w:val="Carpredefinitoparagrafo"/>
    <w:link w:val="Mappadocumento"/>
    <w:uiPriority w:val="99"/>
    <w:semiHidden/>
    <w:rsid w:val="0007346F"/>
    <w:rPr>
      <w:sz w:val="2"/>
      <w:szCs w:val="2"/>
      <w:shd w:val="clear" w:color="auto" w:fill="000080"/>
    </w:rPr>
  </w:style>
  <w:style w:type="character" w:customStyle="1" w:styleId="RientrocorpodeltestoCarattere">
    <w:name w:val="Rientro corpo del testo Carattere"/>
    <w:basedOn w:val="Carpredefinitoparagrafo"/>
    <w:link w:val="Rientrocorpodeltesto"/>
    <w:uiPriority w:val="99"/>
    <w:locked/>
    <w:rsid w:val="0007346F"/>
    <w:rPr>
      <w:rFonts w:ascii="Verdana" w:hAnsi="Verdana"/>
      <w:sz w:val="22"/>
      <w:szCs w:val="24"/>
    </w:rPr>
  </w:style>
  <w:style w:type="paragraph" w:customStyle="1" w:styleId="Comunicato">
    <w:name w:val="Comunicato"/>
    <w:basedOn w:val="Normale"/>
    <w:link w:val="ComunicatoCarattere"/>
    <w:uiPriority w:val="99"/>
    <w:rsid w:val="0007346F"/>
    <w:pPr>
      <w:jc w:val="both"/>
    </w:pPr>
    <w:rPr>
      <w:sz w:val="23"/>
      <w:szCs w:val="20"/>
    </w:rPr>
  </w:style>
  <w:style w:type="character" w:customStyle="1" w:styleId="ComunicatoCarattere">
    <w:name w:val="Comunicato Carattere"/>
    <w:link w:val="Comunicato"/>
    <w:uiPriority w:val="99"/>
    <w:locked/>
    <w:rsid w:val="0007346F"/>
    <w:rPr>
      <w:sz w:val="23"/>
    </w:rPr>
  </w:style>
  <w:style w:type="paragraph" w:styleId="Sommario1">
    <w:name w:val="toc 1"/>
    <w:basedOn w:val="Normale"/>
    <w:next w:val="Normale"/>
    <w:autoRedefine/>
    <w:uiPriority w:val="99"/>
    <w:semiHidden/>
    <w:rsid w:val="0007346F"/>
    <w:pPr>
      <w:tabs>
        <w:tab w:val="right" w:leader="dot" w:pos="9060"/>
      </w:tabs>
      <w:spacing w:before="40" w:after="80"/>
    </w:pPr>
    <w:rPr>
      <w:rFonts w:ascii="Verdana" w:hAnsi="Verdana" w:cs="Verdana"/>
      <w:i/>
      <w:iCs/>
      <w:noProof/>
      <w:color w:val="800000"/>
      <w:sz w:val="18"/>
      <w:szCs w:val="18"/>
    </w:rPr>
  </w:style>
  <w:style w:type="character" w:customStyle="1" w:styleId="TestonormaleCarattere">
    <w:name w:val="Testo normale Carattere"/>
    <w:basedOn w:val="Carpredefinitoparagrafo"/>
    <w:link w:val="Testonormale"/>
    <w:uiPriority w:val="99"/>
    <w:locked/>
    <w:rsid w:val="0007346F"/>
    <w:rPr>
      <w:rFonts w:ascii="Courier New" w:hAnsi="Courier New" w:cs="Courier New"/>
    </w:rPr>
  </w:style>
  <w:style w:type="character" w:customStyle="1" w:styleId="CarattereCarattere9">
    <w:name w:val="Carattere Carattere9"/>
    <w:uiPriority w:val="99"/>
    <w:semiHidden/>
    <w:locked/>
    <w:rsid w:val="0007346F"/>
    <w:rPr>
      <w:sz w:val="20"/>
    </w:rPr>
  </w:style>
  <w:style w:type="character" w:styleId="Collegamentovisitato">
    <w:name w:val="FollowedHyperlink"/>
    <w:basedOn w:val="Carpredefinitoparagrafo"/>
    <w:uiPriority w:val="99"/>
    <w:semiHidden/>
    <w:unhideWhenUsed/>
    <w:rsid w:val="0007346F"/>
    <w:rPr>
      <w:color w:val="800080" w:themeColor="followedHyperlink"/>
      <w:u w:val="single"/>
    </w:rPr>
  </w:style>
  <w:style w:type="table" w:styleId="Sfondochiaro-Colore2">
    <w:name w:val="Light Shading Accent 2"/>
    <w:basedOn w:val="Tabellanormale"/>
    <w:uiPriority w:val="60"/>
    <w:rsid w:val="00695F6B"/>
    <w:rPr>
      <w:rFonts w:asciiTheme="minorHAnsi" w:eastAsiaTheme="minorEastAsia" w:hAnsiTheme="minorHAnsi" w:cstheme="minorBid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00TitoGra1">
    <w:name w:val="00TitoGra1"/>
    <w:basedOn w:val="Normale"/>
    <w:qFormat/>
    <w:rsid w:val="0038412A"/>
    <w:pPr>
      <w:widowControl w:val="0"/>
      <w:overflowPunct w:val="0"/>
      <w:autoSpaceDE w:val="0"/>
      <w:autoSpaceDN w:val="0"/>
      <w:adjustRightInd w:val="0"/>
      <w:spacing w:line="280" w:lineRule="exact"/>
    </w:pPr>
    <w:rPr>
      <w:rFonts w:ascii="Calibri" w:hAnsi="Calibri" w:cs="Arial"/>
      <w:b/>
      <w:color w:val="D90B13"/>
      <w:kern w:val="28"/>
      <w:sz w:val="28"/>
      <w:szCs w:val="28"/>
    </w:rPr>
  </w:style>
  <w:style w:type="paragraph" w:customStyle="1" w:styleId="RAtesto">
    <w:name w:val="RA_testo"/>
    <w:basedOn w:val="Normale"/>
    <w:qFormat/>
    <w:rsid w:val="00260A0C"/>
    <w:pPr>
      <w:spacing w:after="120" w:line="259" w:lineRule="auto"/>
      <w:jc w:val="both"/>
    </w:pPr>
    <w:rPr>
      <w:rFonts w:ascii="Arial Narrow" w:hAnsi="Arial Narrow" w:cs="Arial"/>
      <w:sz w:val="23"/>
      <w:szCs w:val="23"/>
    </w:rPr>
  </w:style>
  <w:style w:type="paragraph" w:customStyle="1" w:styleId="RAnota">
    <w:name w:val="RA_nota"/>
    <w:basedOn w:val="Normale"/>
    <w:qFormat/>
    <w:rsid w:val="00260A0C"/>
    <w:pPr>
      <w:ind w:left="426" w:hanging="426"/>
    </w:pPr>
    <w:rPr>
      <w:rFonts w:ascii="Arial Narrow" w:hAnsi="Arial Narrow" w:cs="Arial"/>
      <w:sz w:val="18"/>
      <w:szCs w:val="18"/>
    </w:rPr>
  </w:style>
  <w:style w:type="character" w:customStyle="1" w:styleId="Menzionenonrisolta1">
    <w:name w:val="Menzione non risolta1"/>
    <w:basedOn w:val="Carpredefinitoparagrafo"/>
    <w:uiPriority w:val="99"/>
    <w:semiHidden/>
    <w:unhideWhenUsed/>
    <w:rsid w:val="00486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8861">
      <w:bodyDiv w:val="1"/>
      <w:marLeft w:val="0"/>
      <w:marRight w:val="0"/>
      <w:marTop w:val="0"/>
      <w:marBottom w:val="0"/>
      <w:divBdr>
        <w:top w:val="none" w:sz="0" w:space="0" w:color="auto"/>
        <w:left w:val="none" w:sz="0" w:space="0" w:color="auto"/>
        <w:bottom w:val="none" w:sz="0" w:space="0" w:color="auto"/>
        <w:right w:val="none" w:sz="0" w:space="0" w:color="auto"/>
      </w:divBdr>
    </w:div>
    <w:div w:id="39598219">
      <w:bodyDiv w:val="1"/>
      <w:marLeft w:val="0"/>
      <w:marRight w:val="0"/>
      <w:marTop w:val="0"/>
      <w:marBottom w:val="0"/>
      <w:divBdr>
        <w:top w:val="none" w:sz="0" w:space="0" w:color="auto"/>
        <w:left w:val="none" w:sz="0" w:space="0" w:color="auto"/>
        <w:bottom w:val="none" w:sz="0" w:space="0" w:color="auto"/>
        <w:right w:val="none" w:sz="0" w:space="0" w:color="auto"/>
      </w:divBdr>
    </w:div>
    <w:div w:id="68503577">
      <w:bodyDiv w:val="1"/>
      <w:marLeft w:val="0"/>
      <w:marRight w:val="0"/>
      <w:marTop w:val="0"/>
      <w:marBottom w:val="0"/>
      <w:divBdr>
        <w:top w:val="none" w:sz="0" w:space="0" w:color="auto"/>
        <w:left w:val="none" w:sz="0" w:space="0" w:color="auto"/>
        <w:bottom w:val="none" w:sz="0" w:space="0" w:color="auto"/>
        <w:right w:val="none" w:sz="0" w:space="0" w:color="auto"/>
      </w:divBdr>
    </w:div>
    <w:div w:id="75832699">
      <w:bodyDiv w:val="1"/>
      <w:marLeft w:val="0"/>
      <w:marRight w:val="0"/>
      <w:marTop w:val="0"/>
      <w:marBottom w:val="0"/>
      <w:divBdr>
        <w:top w:val="none" w:sz="0" w:space="0" w:color="auto"/>
        <w:left w:val="none" w:sz="0" w:space="0" w:color="auto"/>
        <w:bottom w:val="none" w:sz="0" w:space="0" w:color="auto"/>
        <w:right w:val="none" w:sz="0" w:space="0" w:color="auto"/>
      </w:divBdr>
    </w:div>
    <w:div w:id="80224668">
      <w:bodyDiv w:val="1"/>
      <w:marLeft w:val="0"/>
      <w:marRight w:val="0"/>
      <w:marTop w:val="0"/>
      <w:marBottom w:val="0"/>
      <w:divBdr>
        <w:top w:val="none" w:sz="0" w:space="0" w:color="auto"/>
        <w:left w:val="none" w:sz="0" w:space="0" w:color="auto"/>
        <w:bottom w:val="none" w:sz="0" w:space="0" w:color="auto"/>
        <w:right w:val="none" w:sz="0" w:space="0" w:color="auto"/>
      </w:divBdr>
    </w:div>
    <w:div w:id="99687976">
      <w:bodyDiv w:val="1"/>
      <w:marLeft w:val="0"/>
      <w:marRight w:val="0"/>
      <w:marTop w:val="0"/>
      <w:marBottom w:val="0"/>
      <w:divBdr>
        <w:top w:val="none" w:sz="0" w:space="0" w:color="auto"/>
        <w:left w:val="none" w:sz="0" w:space="0" w:color="auto"/>
        <w:bottom w:val="none" w:sz="0" w:space="0" w:color="auto"/>
        <w:right w:val="none" w:sz="0" w:space="0" w:color="auto"/>
      </w:divBdr>
    </w:div>
    <w:div w:id="116797457">
      <w:bodyDiv w:val="1"/>
      <w:marLeft w:val="0"/>
      <w:marRight w:val="0"/>
      <w:marTop w:val="0"/>
      <w:marBottom w:val="0"/>
      <w:divBdr>
        <w:top w:val="none" w:sz="0" w:space="0" w:color="auto"/>
        <w:left w:val="none" w:sz="0" w:space="0" w:color="auto"/>
        <w:bottom w:val="none" w:sz="0" w:space="0" w:color="auto"/>
        <w:right w:val="none" w:sz="0" w:space="0" w:color="auto"/>
      </w:divBdr>
    </w:div>
    <w:div w:id="131019045">
      <w:bodyDiv w:val="1"/>
      <w:marLeft w:val="0"/>
      <w:marRight w:val="0"/>
      <w:marTop w:val="0"/>
      <w:marBottom w:val="0"/>
      <w:divBdr>
        <w:top w:val="none" w:sz="0" w:space="0" w:color="auto"/>
        <w:left w:val="none" w:sz="0" w:space="0" w:color="auto"/>
        <w:bottom w:val="none" w:sz="0" w:space="0" w:color="auto"/>
        <w:right w:val="none" w:sz="0" w:space="0" w:color="auto"/>
      </w:divBdr>
    </w:div>
    <w:div w:id="151600973">
      <w:bodyDiv w:val="1"/>
      <w:marLeft w:val="0"/>
      <w:marRight w:val="0"/>
      <w:marTop w:val="0"/>
      <w:marBottom w:val="0"/>
      <w:divBdr>
        <w:top w:val="none" w:sz="0" w:space="0" w:color="auto"/>
        <w:left w:val="none" w:sz="0" w:space="0" w:color="auto"/>
        <w:bottom w:val="none" w:sz="0" w:space="0" w:color="auto"/>
        <w:right w:val="none" w:sz="0" w:space="0" w:color="auto"/>
      </w:divBdr>
    </w:div>
    <w:div w:id="161939806">
      <w:bodyDiv w:val="1"/>
      <w:marLeft w:val="0"/>
      <w:marRight w:val="0"/>
      <w:marTop w:val="0"/>
      <w:marBottom w:val="0"/>
      <w:divBdr>
        <w:top w:val="none" w:sz="0" w:space="0" w:color="auto"/>
        <w:left w:val="none" w:sz="0" w:space="0" w:color="auto"/>
        <w:bottom w:val="none" w:sz="0" w:space="0" w:color="auto"/>
        <w:right w:val="none" w:sz="0" w:space="0" w:color="auto"/>
      </w:divBdr>
    </w:div>
    <w:div w:id="182061675">
      <w:bodyDiv w:val="1"/>
      <w:marLeft w:val="0"/>
      <w:marRight w:val="0"/>
      <w:marTop w:val="0"/>
      <w:marBottom w:val="0"/>
      <w:divBdr>
        <w:top w:val="none" w:sz="0" w:space="0" w:color="auto"/>
        <w:left w:val="none" w:sz="0" w:space="0" w:color="auto"/>
        <w:bottom w:val="none" w:sz="0" w:space="0" w:color="auto"/>
        <w:right w:val="none" w:sz="0" w:space="0" w:color="auto"/>
      </w:divBdr>
    </w:div>
    <w:div w:id="196506439">
      <w:bodyDiv w:val="1"/>
      <w:marLeft w:val="0"/>
      <w:marRight w:val="0"/>
      <w:marTop w:val="0"/>
      <w:marBottom w:val="0"/>
      <w:divBdr>
        <w:top w:val="none" w:sz="0" w:space="0" w:color="auto"/>
        <w:left w:val="none" w:sz="0" w:space="0" w:color="auto"/>
        <w:bottom w:val="none" w:sz="0" w:space="0" w:color="auto"/>
        <w:right w:val="none" w:sz="0" w:space="0" w:color="auto"/>
      </w:divBdr>
    </w:div>
    <w:div w:id="220098899">
      <w:bodyDiv w:val="1"/>
      <w:marLeft w:val="0"/>
      <w:marRight w:val="0"/>
      <w:marTop w:val="0"/>
      <w:marBottom w:val="0"/>
      <w:divBdr>
        <w:top w:val="none" w:sz="0" w:space="0" w:color="auto"/>
        <w:left w:val="none" w:sz="0" w:space="0" w:color="auto"/>
        <w:bottom w:val="none" w:sz="0" w:space="0" w:color="auto"/>
        <w:right w:val="none" w:sz="0" w:space="0" w:color="auto"/>
      </w:divBdr>
    </w:div>
    <w:div w:id="228618688">
      <w:bodyDiv w:val="1"/>
      <w:marLeft w:val="0"/>
      <w:marRight w:val="0"/>
      <w:marTop w:val="0"/>
      <w:marBottom w:val="0"/>
      <w:divBdr>
        <w:top w:val="none" w:sz="0" w:space="0" w:color="auto"/>
        <w:left w:val="none" w:sz="0" w:space="0" w:color="auto"/>
        <w:bottom w:val="none" w:sz="0" w:space="0" w:color="auto"/>
        <w:right w:val="none" w:sz="0" w:space="0" w:color="auto"/>
      </w:divBdr>
    </w:div>
    <w:div w:id="241377545">
      <w:bodyDiv w:val="1"/>
      <w:marLeft w:val="0"/>
      <w:marRight w:val="0"/>
      <w:marTop w:val="0"/>
      <w:marBottom w:val="0"/>
      <w:divBdr>
        <w:top w:val="none" w:sz="0" w:space="0" w:color="auto"/>
        <w:left w:val="none" w:sz="0" w:space="0" w:color="auto"/>
        <w:bottom w:val="none" w:sz="0" w:space="0" w:color="auto"/>
        <w:right w:val="none" w:sz="0" w:space="0" w:color="auto"/>
      </w:divBdr>
    </w:div>
    <w:div w:id="253710433">
      <w:bodyDiv w:val="1"/>
      <w:marLeft w:val="0"/>
      <w:marRight w:val="0"/>
      <w:marTop w:val="0"/>
      <w:marBottom w:val="0"/>
      <w:divBdr>
        <w:top w:val="none" w:sz="0" w:space="0" w:color="auto"/>
        <w:left w:val="none" w:sz="0" w:space="0" w:color="auto"/>
        <w:bottom w:val="none" w:sz="0" w:space="0" w:color="auto"/>
        <w:right w:val="none" w:sz="0" w:space="0" w:color="auto"/>
      </w:divBdr>
    </w:div>
    <w:div w:id="260375786">
      <w:bodyDiv w:val="1"/>
      <w:marLeft w:val="0"/>
      <w:marRight w:val="0"/>
      <w:marTop w:val="0"/>
      <w:marBottom w:val="0"/>
      <w:divBdr>
        <w:top w:val="none" w:sz="0" w:space="0" w:color="auto"/>
        <w:left w:val="none" w:sz="0" w:space="0" w:color="auto"/>
        <w:bottom w:val="none" w:sz="0" w:space="0" w:color="auto"/>
        <w:right w:val="none" w:sz="0" w:space="0" w:color="auto"/>
      </w:divBdr>
    </w:div>
    <w:div w:id="273749686">
      <w:bodyDiv w:val="1"/>
      <w:marLeft w:val="0"/>
      <w:marRight w:val="0"/>
      <w:marTop w:val="0"/>
      <w:marBottom w:val="0"/>
      <w:divBdr>
        <w:top w:val="none" w:sz="0" w:space="0" w:color="auto"/>
        <w:left w:val="none" w:sz="0" w:space="0" w:color="auto"/>
        <w:bottom w:val="none" w:sz="0" w:space="0" w:color="auto"/>
        <w:right w:val="none" w:sz="0" w:space="0" w:color="auto"/>
      </w:divBdr>
    </w:div>
    <w:div w:id="273755985">
      <w:bodyDiv w:val="1"/>
      <w:marLeft w:val="0"/>
      <w:marRight w:val="0"/>
      <w:marTop w:val="0"/>
      <w:marBottom w:val="0"/>
      <w:divBdr>
        <w:top w:val="none" w:sz="0" w:space="0" w:color="auto"/>
        <w:left w:val="none" w:sz="0" w:space="0" w:color="auto"/>
        <w:bottom w:val="none" w:sz="0" w:space="0" w:color="auto"/>
        <w:right w:val="none" w:sz="0" w:space="0" w:color="auto"/>
      </w:divBdr>
    </w:div>
    <w:div w:id="277952860">
      <w:bodyDiv w:val="1"/>
      <w:marLeft w:val="0"/>
      <w:marRight w:val="0"/>
      <w:marTop w:val="0"/>
      <w:marBottom w:val="0"/>
      <w:divBdr>
        <w:top w:val="none" w:sz="0" w:space="0" w:color="auto"/>
        <w:left w:val="none" w:sz="0" w:space="0" w:color="auto"/>
        <w:bottom w:val="none" w:sz="0" w:space="0" w:color="auto"/>
        <w:right w:val="none" w:sz="0" w:space="0" w:color="auto"/>
      </w:divBdr>
    </w:div>
    <w:div w:id="281107793">
      <w:bodyDiv w:val="1"/>
      <w:marLeft w:val="0"/>
      <w:marRight w:val="0"/>
      <w:marTop w:val="0"/>
      <w:marBottom w:val="0"/>
      <w:divBdr>
        <w:top w:val="none" w:sz="0" w:space="0" w:color="auto"/>
        <w:left w:val="none" w:sz="0" w:space="0" w:color="auto"/>
        <w:bottom w:val="none" w:sz="0" w:space="0" w:color="auto"/>
        <w:right w:val="none" w:sz="0" w:space="0" w:color="auto"/>
      </w:divBdr>
    </w:div>
    <w:div w:id="310909387">
      <w:bodyDiv w:val="1"/>
      <w:marLeft w:val="0"/>
      <w:marRight w:val="0"/>
      <w:marTop w:val="0"/>
      <w:marBottom w:val="0"/>
      <w:divBdr>
        <w:top w:val="none" w:sz="0" w:space="0" w:color="auto"/>
        <w:left w:val="none" w:sz="0" w:space="0" w:color="auto"/>
        <w:bottom w:val="none" w:sz="0" w:space="0" w:color="auto"/>
        <w:right w:val="none" w:sz="0" w:space="0" w:color="auto"/>
      </w:divBdr>
    </w:div>
    <w:div w:id="314335568">
      <w:bodyDiv w:val="1"/>
      <w:marLeft w:val="0"/>
      <w:marRight w:val="0"/>
      <w:marTop w:val="0"/>
      <w:marBottom w:val="0"/>
      <w:divBdr>
        <w:top w:val="none" w:sz="0" w:space="0" w:color="auto"/>
        <w:left w:val="none" w:sz="0" w:space="0" w:color="auto"/>
        <w:bottom w:val="none" w:sz="0" w:space="0" w:color="auto"/>
        <w:right w:val="none" w:sz="0" w:space="0" w:color="auto"/>
      </w:divBdr>
    </w:div>
    <w:div w:id="328607336">
      <w:bodyDiv w:val="1"/>
      <w:marLeft w:val="0"/>
      <w:marRight w:val="0"/>
      <w:marTop w:val="0"/>
      <w:marBottom w:val="0"/>
      <w:divBdr>
        <w:top w:val="none" w:sz="0" w:space="0" w:color="auto"/>
        <w:left w:val="none" w:sz="0" w:space="0" w:color="auto"/>
        <w:bottom w:val="none" w:sz="0" w:space="0" w:color="auto"/>
        <w:right w:val="none" w:sz="0" w:space="0" w:color="auto"/>
      </w:divBdr>
    </w:div>
    <w:div w:id="346368149">
      <w:bodyDiv w:val="1"/>
      <w:marLeft w:val="0"/>
      <w:marRight w:val="0"/>
      <w:marTop w:val="0"/>
      <w:marBottom w:val="0"/>
      <w:divBdr>
        <w:top w:val="none" w:sz="0" w:space="0" w:color="auto"/>
        <w:left w:val="none" w:sz="0" w:space="0" w:color="auto"/>
        <w:bottom w:val="none" w:sz="0" w:space="0" w:color="auto"/>
        <w:right w:val="none" w:sz="0" w:space="0" w:color="auto"/>
      </w:divBdr>
    </w:div>
    <w:div w:id="356275611">
      <w:bodyDiv w:val="1"/>
      <w:marLeft w:val="0"/>
      <w:marRight w:val="0"/>
      <w:marTop w:val="0"/>
      <w:marBottom w:val="0"/>
      <w:divBdr>
        <w:top w:val="none" w:sz="0" w:space="0" w:color="auto"/>
        <w:left w:val="none" w:sz="0" w:space="0" w:color="auto"/>
        <w:bottom w:val="none" w:sz="0" w:space="0" w:color="auto"/>
        <w:right w:val="none" w:sz="0" w:space="0" w:color="auto"/>
      </w:divBdr>
    </w:div>
    <w:div w:id="358314732">
      <w:bodyDiv w:val="1"/>
      <w:marLeft w:val="0"/>
      <w:marRight w:val="0"/>
      <w:marTop w:val="0"/>
      <w:marBottom w:val="0"/>
      <w:divBdr>
        <w:top w:val="none" w:sz="0" w:space="0" w:color="auto"/>
        <w:left w:val="none" w:sz="0" w:space="0" w:color="auto"/>
        <w:bottom w:val="none" w:sz="0" w:space="0" w:color="auto"/>
        <w:right w:val="none" w:sz="0" w:space="0" w:color="auto"/>
      </w:divBdr>
    </w:div>
    <w:div w:id="378364472">
      <w:bodyDiv w:val="1"/>
      <w:marLeft w:val="0"/>
      <w:marRight w:val="0"/>
      <w:marTop w:val="0"/>
      <w:marBottom w:val="0"/>
      <w:divBdr>
        <w:top w:val="none" w:sz="0" w:space="0" w:color="auto"/>
        <w:left w:val="none" w:sz="0" w:space="0" w:color="auto"/>
        <w:bottom w:val="none" w:sz="0" w:space="0" w:color="auto"/>
        <w:right w:val="none" w:sz="0" w:space="0" w:color="auto"/>
      </w:divBdr>
    </w:div>
    <w:div w:id="383480890">
      <w:bodyDiv w:val="1"/>
      <w:marLeft w:val="0"/>
      <w:marRight w:val="0"/>
      <w:marTop w:val="0"/>
      <w:marBottom w:val="0"/>
      <w:divBdr>
        <w:top w:val="none" w:sz="0" w:space="0" w:color="auto"/>
        <w:left w:val="none" w:sz="0" w:space="0" w:color="auto"/>
        <w:bottom w:val="none" w:sz="0" w:space="0" w:color="auto"/>
        <w:right w:val="none" w:sz="0" w:space="0" w:color="auto"/>
      </w:divBdr>
    </w:div>
    <w:div w:id="404114048">
      <w:bodyDiv w:val="1"/>
      <w:marLeft w:val="0"/>
      <w:marRight w:val="0"/>
      <w:marTop w:val="0"/>
      <w:marBottom w:val="0"/>
      <w:divBdr>
        <w:top w:val="none" w:sz="0" w:space="0" w:color="auto"/>
        <w:left w:val="none" w:sz="0" w:space="0" w:color="auto"/>
        <w:bottom w:val="none" w:sz="0" w:space="0" w:color="auto"/>
        <w:right w:val="none" w:sz="0" w:space="0" w:color="auto"/>
      </w:divBdr>
    </w:div>
    <w:div w:id="442918786">
      <w:bodyDiv w:val="1"/>
      <w:marLeft w:val="0"/>
      <w:marRight w:val="0"/>
      <w:marTop w:val="0"/>
      <w:marBottom w:val="0"/>
      <w:divBdr>
        <w:top w:val="none" w:sz="0" w:space="0" w:color="auto"/>
        <w:left w:val="none" w:sz="0" w:space="0" w:color="auto"/>
        <w:bottom w:val="none" w:sz="0" w:space="0" w:color="auto"/>
        <w:right w:val="none" w:sz="0" w:space="0" w:color="auto"/>
      </w:divBdr>
    </w:div>
    <w:div w:id="460540886">
      <w:bodyDiv w:val="1"/>
      <w:marLeft w:val="0"/>
      <w:marRight w:val="0"/>
      <w:marTop w:val="0"/>
      <w:marBottom w:val="0"/>
      <w:divBdr>
        <w:top w:val="none" w:sz="0" w:space="0" w:color="auto"/>
        <w:left w:val="none" w:sz="0" w:space="0" w:color="auto"/>
        <w:bottom w:val="none" w:sz="0" w:space="0" w:color="auto"/>
        <w:right w:val="none" w:sz="0" w:space="0" w:color="auto"/>
      </w:divBdr>
    </w:div>
    <w:div w:id="481629084">
      <w:bodyDiv w:val="1"/>
      <w:marLeft w:val="0"/>
      <w:marRight w:val="0"/>
      <w:marTop w:val="0"/>
      <w:marBottom w:val="0"/>
      <w:divBdr>
        <w:top w:val="none" w:sz="0" w:space="0" w:color="auto"/>
        <w:left w:val="none" w:sz="0" w:space="0" w:color="auto"/>
        <w:bottom w:val="none" w:sz="0" w:space="0" w:color="auto"/>
        <w:right w:val="none" w:sz="0" w:space="0" w:color="auto"/>
      </w:divBdr>
    </w:div>
    <w:div w:id="483282944">
      <w:bodyDiv w:val="1"/>
      <w:marLeft w:val="0"/>
      <w:marRight w:val="0"/>
      <w:marTop w:val="0"/>
      <w:marBottom w:val="0"/>
      <w:divBdr>
        <w:top w:val="none" w:sz="0" w:space="0" w:color="auto"/>
        <w:left w:val="none" w:sz="0" w:space="0" w:color="auto"/>
        <w:bottom w:val="none" w:sz="0" w:space="0" w:color="auto"/>
        <w:right w:val="none" w:sz="0" w:space="0" w:color="auto"/>
      </w:divBdr>
    </w:div>
    <w:div w:id="488790152">
      <w:bodyDiv w:val="1"/>
      <w:marLeft w:val="0"/>
      <w:marRight w:val="0"/>
      <w:marTop w:val="0"/>
      <w:marBottom w:val="0"/>
      <w:divBdr>
        <w:top w:val="none" w:sz="0" w:space="0" w:color="auto"/>
        <w:left w:val="none" w:sz="0" w:space="0" w:color="auto"/>
        <w:bottom w:val="none" w:sz="0" w:space="0" w:color="auto"/>
        <w:right w:val="none" w:sz="0" w:space="0" w:color="auto"/>
      </w:divBdr>
    </w:div>
    <w:div w:id="505364616">
      <w:bodyDiv w:val="1"/>
      <w:marLeft w:val="0"/>
      <w:marRight w:val="0"/>
      <w:marTop w:val="0"/>
      <w:marBottom w:val="0"/>
      <w:divBdr>
        <w:top w:val="none" w:sz="0" w:space="0" w:color="auto"/>
        <w:left w:val="none" w:sz="0" w:space="0" w:color="auto"/>
        <w:bottom w:val="none" w:sz="0" w:space="0" w:color="auto"/>
        <w:right w:val="none" w:sz="0" w:space="0" w:color="auto"/>
      </w:divBdr>
    </w:div>
    <w:div w:id="549466113">
      <w:bodyDiv w:val="1"/>
      <w:marLeft w:val="0"/>
      <w:marRight w:val="0"/>
      <w:marTop w:val="0"/>
      <w:marBottom w:val="0"/>
      <w:divBdr>
        <w:top w:val="none" w:sz="0" w:space="0" w:color="auto"/>
        <w:left w:val="none" w:sz="0" w:space="0" w:color="auto"/>
        <w:bottom w:val="none" w:sz="0" w:space="0" w:color="auto"/>
        <w:right w:val="none" w:sz="0" w:space="0" w:color="auto"/>
      </w:divBdr>
    </w:div>
    <w:div w:id="561211607">
      <w:bodyDiv w:val="1"/>
      <w:marLeft w:val="0"/>
      <w:marRight w:val="0"/>
      <w:marTop w:val="0"/>
      <w:marBottom w:val="0"/>
      <w:divBdr>
        <w:top w:val="none" w:sz="0" w:space="0" w:color="auto"/>
        <w:left w:val="none" w:sz="0" w:space="0" w:color="auto"/>
        <w:bottom w:val="none" w:sz="0" w:space="0" w:color="auto"/>
        <w:right w:val="none" w:sz="0" w:space="0" w:color="auto"/>
      </w:divBdr>
    </w:div>
    <w:div w:id="571937567">
      <w:bodyDiv w:val="1"/>
      <w:marLeft w:val="0"/>
      <w:marRight w:val="0"/>
      <w:marTop w:val="0"/>
      <w:marBottom w:val="0"/>
      <w:divBdr>
        <w:top w:val="none" w:sz="0" w:space="0" w:color="auto"/>
        <w:left w:val="none" w:sz="0" w:space="0" w:color="auto"/>
        <w:bottom w:val="none" w:sz="0" w:space="0" w:color="auto"/>
        <w:right w:val="none" w:sz="0" w:space="0" w:color="auto"/>
      </w:divBdr>
    </w:div>
    <w:div w:id="586231082">
      <w:bodyDiv w:val="1"/>
      <w:marLeft w:val="0"/>
      <w:marRight w:val="0"/>
      <w:marTop w:val="0"/>
      <w:marBottom w:val="0"/>
      <w:divBdr>
        <w:top w:val="none" w:sz="0" w:space="0" w:color="auto"/>
        <w:left w:val="none" w:sz="0" w:space="0" w:color="auto"/>
        <w:bottom w:val="none" w:sz="0" w:space="0" w:color="auto"/>
        <w:right w:val="none" w:sz="0" w:space="0" w:color="auto"/>
      </w:divBdr>
    </w:div>
    <w:div w:id="595021578">
      <w:bodyDiv w:val="1"/>
      <w:marLeft w:val="0"/>
      <w:marRight w:val="0"/>
      <w:marTop w:val="0"/>
      <w:marBottom w:val="0"/>
      <w:divBdr>
        <w:top w:val="none" w:sz="0" w:space="0" w:color="auto"/>
        <w:left w:val="none" w:sz="0" w:space="0" w:color="auto"/>
        <w:bottom w:val="none" w:sz="0" w:space="0" w:color="auto"/>
        <w:right w:val="none" w:sz="0" w:space="0" w:color="auto"/>
      </w:divBdr>
    </w:div>
    <w:div w:id="641081994">
      <w:bodyDiv w:val="1"/>
      <w:marLeft w:val="0"/>
      <w:marRight w:val="0"/>
      <w:marTop w:val="0"/>
      <w:marBottom w:val="0"/>
      <w:divBdr>
        <w:top w:val="none" w:sz="0" w:space="0" w:color="auto"/>
        <w:left w:val="none" w:sz="0" w:space="0" w:color="auto"/>
        <w:bottom w:val="none" w:sz="0" w:space="0" w:color="auto"/>
        <w:right w:val="none" w:sz="0" w:space="0" w:color="auto"/>
      </w:divBdr>
    </w:div>
    <w:div w:id="646937997">
      <w:bodyDiv w:val="1"/>
      <w:marLeft w:val="0"/>
      <w:marRight w:val="0"/>
      <w:marTop w:val="0"/>
      <w:marBottom w:val="0"/>
      <w:divBdr>
        <w:top w:val="none" w:sz="0" w:space="0" w:color="auto"/>
        <w:left w:val="none" w:sz="0" w:space="0" w:color="auto"/>
        <w:bottom w:val="none" w:sz="0" w:space="0" w:color="auto"/>
        <w:right w:val="none" w:sz="0" w:space="0" w:color="auto"/>
      </w:divBdr>
    </w:div>
    <w:div w:id="654643802">
      <w:bodyDiv w:val="1"/>
      <w:marLeft w:val="0"/>
      <w:marRight w:val="0"/>
      <w:marTop w:val="0"/>
      <w:marBottom w:val="0"/>
      <w:divBdr>
        <w:top w:val="none" w:sz="0" w:space="0" w:color="auto"/>
        <w:left w:val="none" w:sz="0" w:space="0" w:color="auto"/>
        <w:bottom w:val="none" w:sz="0" w:space="0" w:color="auto"/>
        <w:right w:val="none" w:sz="0" w:space="0" w:color="auto"/>
      </w:divBdr>
    </w:div>
    <w:div w:id="666784563">
      <w:bodyDiv w:val="1"/>
      <w:marLeft w:val="0"/>
      <w:marRight w:val="0"/>
      <w:marTop w:val="0"/>
      <w:marBottom w:val="0"/>
      <w:divBdr>
        <w:top w:val="none" w:sz="0" w:space="0" w:color="auto"/>
        <w:left w:val="none" w:sz="0" w:space="0" w:color="auto"/>
        <w:bottom w:val="none" w:sz="0" w:space="0" w:color="auto"/>
        <w:right w:val="none" w:sz="0" w:space="0" w:color="auto"/>
      </w:divBdr>
    </w:div>
    <w:div w:id="669792425">
      <w:bodyDiv w:val="1"/>
      <w:marLeft w:val="0"/>
      <w:marRight w:val="0"/>
      <w:marTop w:val="0"/>
      <w:marBottom w:val="0"/>
      <w:divBdr>
        <w:top w:val="none" w:sz="0" w:space="0" w:color="auto"/>
        <w:left w:val="none" w:sz="0" w:space="0" w:color="auto"/>
        <w:bottom w:val="none" w:sz="0" w:space="0" w:color="auto"/>
        <w:right w:val="none" w:sz="0" w:space="0" w:color="auto"/>
      </w:divBdr>
    </w:div>
    <w:div w:id="727076220">
      <w:bodyDiv w:val="1"/>
      <w:marLeft w:val="0"/>
      <w:marRight w:val="0"/>
      <w:marTop w:val="0"/>
      <w:marBottom w:val="0"/>
      <w:divBdr>
        <w:top w:val="none" w:sz="0" w:space="0" w:color="auto"/>
        <w:left w:val="none" w:sz="0" w:space="0" w:color="auto"/>
        <w:bottom w:val="none" w:sz="0" w:space="0" w:color="auto"/>
        <w:right w:val="none" w:sz="0" w:space="0" w:color="auto"/>
      </w:divBdr>
    </w:div>
    <w:div w:id="727456357">
      <w:bodyDiv w:val="1"/>
      <w:marLeft w:val="0"/>
      <w:marRight w:val="0"/>
      <w:marTop w:val="0"/>
      <w:marBottom w:val="0"/>
      <w:divBdr>
        <w:top w:val="none" w:sz="0" w:space="0" w:color="auto"/>
        <w:left w:val="none" w:sz="0" w:space="0" w:color="auto"/>
        <w:bottom w:val="none" w:sz="0" w:space="0" w:color="auto"/>
        <w:right w:val="none" w:sz="0" w:space="0" w:color="auto"/>
      </w:divBdr>
    </w:div>
    <w:div w:id="743843441">
      <w:bodyDiv w:val="1"/>
      <w:marLeft w:val="0"/>
      <w:marRight w:val="0"/>
      <w:marTop w:val="0"/>
      <w:marBottom w:val="0"/>
      <w:divBdr>
        <w:top w:val="none" w:sz="0" w:space="0" w:color="auto"/>
        <w:left w:val="none" w:sz="0" w:space="0" w:color="auto"/>
        <w:bottom w:val="none" w:sz="0" w:space="0" w:color="auto"/>
        <w:right w:val="none" w:sz="0" w:space="0" w:color="auto"/>
      </w:divBdr>
    </w:div>
    <w:div w:id="748114000">
      <w:bodyDiv w:val="1"/>
      <w:marLeft w:val="0"/>
      <w:marRight w:val="0"/>
      <w:marTop w:val="0"/>
      <w:marBottom w:val="0"/>
      <w:divBdr>
        <w:top w:val="none" w:sz="0" w:space="0" w:color="auto"/>
        <w:left w:val="none" w:sz="0" w:space="0" w:color="auto"/>
        <w:bottom w:val="none" w:sz="0" w:space="0" w:color="auto"/>
        <w:right w:val="none" w:sz="0" w:space="0" w:color="auto"/>
      </w:divBdr>
    </w:div>
    <w:div w:id="762579357">
      <w:bodyDiv w:val="1"/>
      <w:marLeft w:val="0"/>
      <w:marRight w:val="0"/>
      <w:marTop w:val="0"/>
      <w:marBottom w:val="0"/>
      <w:divBdr>
        <w:top w:val="none" w:sz="0" w:space="0" w:color="auto"/>
        <w:left w:val="none" w:sz="0" w:space="0" w:color="auto"/>
        <w:bottom w:val="none" w:sz="0" w:space="0" w:color="auto"/>
        <w:right w:val="none" w:sz="0" w:space="0" w:color="auto"/>
      </w:divBdr>
    </w:div>
    <w:div w:id="767044012">
      <w:bodyDiv w:val="1"/>
      <w:marLeft w:val="0"/>
      <w:marRight w:val="0"/>
      <w:marTop w:val="0"/>
      <w:marBottom w:val="0"/>
      <w:divBdr>
        <w:top w:val="none" w:sz="0" w:space="0" w:color="auto"/>
        <w:left w:val="none" w:sz="0" w:space="0" w:color="auto"/>
        <w:bottom w:val="none" w:sz="0" w:space="0" w:color="auto"/>
        <w:right w:val="none" w:sz="0" w:space="0" w:color="auto"/>
      </w:divBdr>
    </w:div>
    <w:div w:id="781459107">
      <w:bodyDiv w:val="1"/>
      <w:marLeft w:val="0"/>
      <w:marRight w:val="0"/>
      <w:marTop w:val="0"/>
      <w:marBottom w:val="0"/>
      <w:divBdr>
        <w:top w:val="none" w:sz="0" w:space="0" w:color="auto"/>
        <w:left w:val="none" w:sz="0" w:space="0" w:color="auto"/>
        <w:bottom w:val="none" w:sz="0" w:space="0" w:color="auto"/>
        <w:right w:val="none" w:sz="0" w:space="0" w:color="auto"/>
      </w:divBdr>
    </w:div>
    <w:div w:id="788360782">
      <w:bodyDiv w:val="1"/>
      <w:marLeft w:val="0"/>
      <w:marRight w:val="0"/>
      <w:marTop w:val="0"/>
      <w:marBottom w:val="0"/>
      <w:divBdr>
        <w:top w:val="none" w:sz="0" w:space="0" w:color="auto"/>
        <w:left w:val="none" w:sz="0" w:space="0" w:color="auto"/>
        <w:bottom w:val="none" w:sz="0" w:space="0" w:color="auto"/>
        <w:right w:val="none" w:sz="0" w:space="0" w:color="auto"/>
      </w:divBdr>
    </w:div>
    <w:div w:id="794299938">
      <w:bodyDiv w:val="1"/>
      <w:marLeft w:val="0"/>
      <w:marRight w:val="0"/>
      <w:marTop w:val="0"/>
      <w:marBottom w:val="0"/>
      <w:divBdr>
        <w:top w:val="none" w:sz="0" w:space="0" w:color="auto"/>
        <w:left w:val="none" w:sz="0" w:space="0" w:color="auto"/>
        <w:bottom w:val="none" w:sz="0" w:space="0" w:color="auto"/>
        <w:right w:val="none" w:sz="0" w:space="0" w:color="auto"/>
      </w:divBdr>
    </w:div>
    <w:div w:id="805395479">
      <w:bodyDiv w:val="1"/>
      <w:marLeft w:val="0"/>
      <w:marRight w:val="0"/>
      <w:marTop w:val="0"/>
      <w:marBottom w:val="0"/>
      <w:divBdr>
        <w:top w:val="none" w:sz="0" w:space="0" w:color="auto"/>
        <w:left w:val="none" w:sz="0" w:space="0" w:color="auto"/>
        <w:bottom w:val="none" w:sz="0" w:space="0" w:color="auto"/>
        <w:right w:val="none" w:sz="0" w:space="0" w:color="auto"/>
      </w:divBdr>
    </w:div>
    <w:div w:id="829558394">
      <w:bodyDiv w:val="1"/>
      <w:marLeft w:val="0"/>
      <w:marRight w:val="0"/>
      <w:marTop w:val="0"/>
      <w:marBottom w:val="0"/>
      <w:divBdr>
        <w:top w:val="none" w:sz="0" w:space="0" w:color="auto"/>
        <w:left w:val="none" w:sz="0" w:space="0" w:color="auto"/>
        <w:bottom w:val="none" w:sz="0" w:space="0" w:color="auto"/>
        <w:right w:val="none" w:sz="0" w:space="0" w:color="auto"/>
      </w:divBdr>
    </w:div>
    <w:div w:id="876544728">
      <w:bodyDiv w:val="1"/>
      <w:marLeft w:val="0"/>
      <w:marRight w:val="0"/>
      <w:marTop w:val="0"/>
      <w:marBottom w:val="0"/>
      <w:divBdr>
        <w:top w:val="none" w:sz="0" w:space="0" w:color="auto"/>
        <w:left w:val="none" w:sz="0" w:space="0" w:color="auto"/>
        <w:bottom w:val="none" w:sz="0" w:space="0" w:color="auto"/>
        <w:right w:val="none" w:sz="0" w:space="0" w:color="auto"/>
      </w:divBdr>
    </w:div>
    <w:div w:id="882055391">
      <w:bodyDiv w:val="1"/>
      <w:marLeft w:val="0"/>
      <w:marRight w:val="0"/>
      <w:marTop w:val="0"/>
      <w:marBottom w:val="0"/>
      <w:divBdr>
        <w:top w:val="none" w:sz="0" w:space="0" w:color="auto"/>
        <w:left w:val="none" w:sz="0" w:space="0" w:color="auto"/>
        <w:bottom w:val="none" w:sz="0" w:space="0" w:color="auto"/>
        <w:right w:val="none" w:sz="0" w:space="0" w:color="auto"/>
      </w:divBdr>
    </w:div>
    <w:div w:id="924532849">
      <w:bodyDiv w:val="1"/>
      <w:marLeft w:val="0"/>
      <w:marRight w:val="0"/>
      <w:marTop w:val="0"/>
      <w:marBottom w:val="0"/>
      <w:divBdr>
        <w:top w:val="none" w:sz="0" w:space="0" w:color="auto"/>
        <w:left w:val="none" w:sz="0" w:space="0" w:color="auto"/>
        <w:bottom w:val="none" w:sz="0" w:space="0" w:color="auto"/>
        <w:right w:val="none" w:sz="0" w:space="0" w:color="auto"/>
      </w:divBdr>
    </w:div>
    <w:div w:id="997459047">
      <w:bodyDiv w:val="1"/>
      <w:marLeft w:val="0"/>
      <w:marRight w:val="0"/>
      <w:marTop w:val="0"/>
      <w:marBottom w:val="0"/>
      <w:divBdr>
        <w:top w:val="none" w:sz="0" w:space="0" w:color="auto"/>
        <w:left w:val="none" w:sz="0" w:space="0" w:color="auto"/>
        <w:bottom w:val="none" w:sz="0" w:space="0" w:color="auto"/>
        <w:right w:val="none" w:sz="0" w:space="0" w:color="auto"/>
      </w:divBdr>
    </w:div>
    <w:div w:id="1000810957">
      <w:bodyDiv w:val="1"/>
      <w:marLeft w:val="0"/>
      <w:marRight w:val="0"/>
      <w:marTop w:val="0"/>
      <w:marBottom w:val="0"/>
      <w:divBdr>
        <w:top w:val="none" w:sz="0" w:space="0" w:color="auto"/>
        <w:left w:val="none" w:sz="0" w:space="0" w:color="auto"/>
        <w:bottom w:val="none" w:sz="0" w:space="0" w:color="auto"/>
        <w:right w:val="none" w:sz="0" w:space="0" w:color="auto"/>
      </w:divBdr>
    </w:div>
    <w:div w:id="1010062292">
      <w:bodyDiv w:val="1"/>
      <w:marLeft w:val="0"/>
      <w:marRight w:val="0"/>
      <w:marTop w:val="0"/>
      <w:marBottom w:val="0"/>
      <w:divBdr>
        <w:top w:val="none" w:sz="0" w:space="0" w:color="auto"/>
        <w:left w:val="none" w:sz="0" w:space="0" w:color="auto"/>
        <w:bottom w:val="none" w:sz="0" w:space="0" w:color="auto"/>
        <w:right w:val="none" w:sz="0" w:space="0" w:color="auto"/>
      </w:divBdr>
    </w:div>
    <w:div w:id="1016662921">
      <w:bodyDiv w:val="1"/>
      <w:marLeft w:val="0"/>
      <w:marRight w:val="0"/>
      <w:marTop w:val="0"/>
      <w:marBottom w:val="0"/>
      <w:divBdr>
        <w:top w:val="none" w:sz="0" w:space="0" w:color="auto"/>
        <w:left w:val="none" w:sz="0" w:space="0" w:color="auto"/>
        <w:bottom w:val="none" w:sz="0" w:space="0" w:color="auto"/>
        <w:right w:val="none" w:sz="0" w:space="0" w:color="auto"/>
      </w:divBdr>
    </w:div>
    <w:div w:id="1021662909">
      <w:bodyDiv w:val="1"/>
      <w:marLeft w:val="0"/>
      <w:marRight w:val="0"/>
      <w:marTop w:val="0"/>
      <w:marBottom w:val="0"/>
      <w:divBdr>
        <w:top w:val="none" w:sz="0" w:space="0" w:color="auto"/>
        <w:left w:val="none" w:sz="0" w:space="0" w:color="auto"/>
        <w:bottom w:val="none" w:sz="0" w:space="0" w:color="auto"/>
        <w:right w:val="none" w:sz="0" w:space="0" w:color="auto"/>
      </w:divBdr>
    </w:div>
    <w:div w:id="1034160074">
      <w:bodyDiv w:val="1"/>
      <w:marLeft w:val="0"/>
      <w:marRight w:val="0"/>
      <w:marTop w:val="0"/>
      <w:marBottom w:val="0"/>
      <w:divBdr>
        <w:top w:val="none" w:sz="0" w:space="0" w:color="auto"/>
        <w:left w:val="none" w:sz="0" w:space="0" w:color="auto"/>
        <w:bottom w:val="none" w:sz="0" w:space="0" w:color="auto"/>
        <w:right w:val="none" w:sz="0" w:space="0" w:color="auto"/>
      </w:divBdr>
    </w:div>
    <w:div w:id="1065683405">
      <w:bodyDiv w:val="1"/>
      <w:marLeft w:val="0"/>
      <w:marRight w:val="0"/>
      <w:marTop w:val="0"/>
      <w:marBottom w:val="0"/>
      <w:divBdr>
        <w:top w:val="none" w:sz="0" w:space="0" w:color="auto"/>
        <w:left w:val="none" w:sz="0" w:space="0" w:color="auto"/>
        <w:bottom w:val="none" w:sz="0" w:space="0" w:color="auto"/>
        <w:right w:val="none" w:sz="0" w:space="0" w:color="auto"/>
      </w:divBdr>
    </w:div>
    <w:div w:id="1072045808">
      <w:bodyDiv w:val="1"/>
      <w:marLeft w:val="0"/>
      <w:marRight w:val="0"/>
      <w:marTop w:val="0"/>
      <w:marBottom w:val="0"/>
      <w:divBdr>
        <w:top w:val="none" w:sz="0" w:space="0" w:color="auto"/>
        <w:left w:val="none" w:sz="0" w:space="0" w:color="auto"/>
        <w:bottom w:val="none" w:sz="0" w:space="0" w:color="auto"/>
        <w:right w:val="none" w:sz="0" w:space="0" w:color="auto"/>
      </w:divBdr>
    </w:div>
    <w:div w:id="1090808564">
      <w:bodyDiv w:val="1"/>
      <w:marLeft w:val="0"/>
      <w:marRight w:val="0"/>
      <w:marTop w:val="0"/>
      <w:marBottom w:val="0"/>
      <w:divBdr>
        <w:top w:val="none" w:sz="0" w:space="0" w:color="auto"/>
        <w:left w:val="none" w:sz="0" w:space="0" w:color="auto"/>
        <w:bottom w:val="none" w:sz="0" w:space="0" w:color="auto"/>
        <w:right w:val="none" w:sz="0" w:space="0" w:color="auto"/>
      </w:divBdr>
    </w:div>
    <w:div w:id="1098210250">
      <w:bodyDiv w:val="1"/>
      <w:marLeft w:val="0"/>
      <w:marRight w:val="0"/>
      <w:marTop w:val="0"/>
      <w:marBottom w:val="0"/>
      <w:divBdr>
        <w:top w:val="none" w:sz="0" w:space="0" w:color="auto"/>
        <w:left w:val="none" w:sz="0" w:space="0" w:color="auto"/>
        <w:bottom w:val="none" w:sz="0" w:space="0" w:color="auto"/>
        <w:right w:val="none" w:sz="0" w:space="0" w:color="auto"/>
      </w:divBdr>
    </w:div>
    <w:div w:id="1122068288">
      <w:bodyDiv w:val="1"/>
      <w:marLeft w:val="0"/>
      <w:marRight w:val="0"/>
      <w:marTop w:val="0"/>
      <w:marBottom w:val="0"/>
      <w:divBdr>
        <w:top w:val="none" w:sz="0" w:space="0" w:color="auto"/>
        <w:left w:val="none" w:sz="0" w:space="0" w:color="auto"/>
        <w:bottom w:val="none" w:sz="0" w:space="0" w:color="auto"/>
        <w:right w:val="none" w:sz="0" w:space="0" w:color="auto"/>
      </w:divBdr>
    </w:div>
    <w:div w:id="1125389453">
      <w:bodyDiv w:val="1"/>
      <w:marLeft w:val="0"/>
      <w:marRight w:val="0"/>
      <w:marTop w:val="0"/>
      <w:marBottom w:val="0"/>
      <w:divBdr>
        <w:top w:val="none" w:sz="0" w:space="0" w:color="auto"/>
        <w:left w:val="none" w:sz="0" w:space="0" w:color="auto"/>
        <w:bottom w:val="none" w:sz="0" w:space="0" w:color="auto"/>
        <w:right w:val="none" w:sz="0" w:space="0" w:color="auto"/>
      </w:divBdr>
    </w:div>
    <w:div w:id="1135952232">
      <w:bodyDiv w:val="1"/>
      <w:marLeft w:val="0"/>
      <w:marRight w:val="0"/>
      <w:marTop w:val="0"/>
      <w:marBottom w:val="0"/>
      <w:divBdr>
        <w:top w:val="none" w:sz="0" w:space="0" w:color="auto"/>
        <w:left w:val="none" w:sz="0" w:space="0" w:color="auto"/>
        <w:bottom w:val="none" w:sz="0" w:space="0" w:color="auto"/>
        <w:right w:val="none" w:sz="0" w:space="0" w:color="auto"/>
      </w:divBdr>
    </w:div>
    <w:div w:id="1138036192">
      <w:bodyDiv w:val="1"/>
      <w:marLeft w:val="0"/>
      <w:marRight w:val="0"/>
      <w:marTop w:val="0"/>
      <w:marBottom w:val="0"/>
      <w:divBdr>
        <w:top w:val="none" w:sz="0" w:space="0" w:color="auto"/>
        <w:left w:val="none" w:sz="0" w:space="0" w:color="auto"/>
        <w:bottom w:val="none" w:sz="0" w:space="0" w:color="auto"/>
        <w:right w:val="none" w:sz="0" w:space="0" w:color="auto"/>
      </w:divBdr>
    </w:div>
    <w:div w:id="1144273557">
      <w:bodyDiv w:val="1"/>
      <w:marLeft w:val="0"/>
      <w:marRight w:val="0"/>
      <w:marTop w:val="0"/>
      <w:marBottom w:val="0"/>
      <w:divBdr>
        <w:top w:val="none" w:sz="0" w:space="0" w:color="auto"/>
        <w:left w:val="none" w:sz="0" w:space="0" w:color="auto"/>
        <w:bottom w:val="none" w:sz="0" w:space="0" w:color="auto"/>
        <w:right w:val="none" w:sz="0" w:space="0" w:color="auto"/>
      </w:divBdr>
    </w:div>
    <w:div w:id="1152405186">
      <w:bodyDiv w:val="1"/>
      <w:marLeft w:val="0"/>
      <w:marRight w:val="0"/>
      <w:marTop w:val="0"/>
      <w:marBottom w:val="0"/>
      <w:divBdr>
        <w:top w:val="none" w:sz="0" w:space="0" w:color="auto"/>
        <w:left w:val="none" w:sz="0" w:space="0" w:color="auto"/>
        <w:bottom w:val="none" w:sz="0" w:space="0" w:color="auto"/>
        <w:right w:val="none" w:sz="0" w:space="0" w:color="auto"/>
      </w:divBdr>
    </w:div>
    <w:div w:id="1190532546">
      <w:bodyDiv w:val="1"/>
      <w:marLeft w:val="0"/>
      <w:marRight w:val="0"/>
      <w:marTop w:val="0"/>
      <w:marBottom w:val="0"/>
      <w:divBdr>
        <w:top w:val="none" w:sz="0" w:space="0" w:color="auto"/>
        <w:left w:val="none" w:sz="0" w:space="0" w:color="auto"/>
        <w:bottom w:val="none" w:sz="0" w:space="0" w:color="auto"/>
        <w:right w:val="none" w:sz="0" w:space="0" w:color="auto"/>
      </w:divBdr>
    </w:div>
    <w:div w:id="1195771080">
      <w:bodyDiv w:val="1"/>
      <w:marLeft w:val="0"/>
      <w:marRight w:val="0"/>
      <w:marTop w:val="0"/>
      <w:marBottom w:val="0"/>
      <w:divBdr>
        <w:top w:val="none" w:sz="0" w:space="0" w:color="auto"/>
        <w:left w:val="none" w:sz="0" w:space="0" w:color="auto"/>
        <w:bottom w:val="none" w:sz="0" w:space="0" w:color="auto"/>
        <w:right w:val="none" w:sz="0" w:space="0" w:color="auto"/>
      </w:divBdr>
    </w:div>
    <w:div w:id="1251626275">
      <w:bodyDiv w:val="1"/>
      <w:marLeft w:val="0"/>
      <w:marRight w:val="0"/>
      <w:marTop w:val="0"/>
      <w:marBottom w:val="0"/>
      <w:divBdr>
        <w:top w:val="none" w:sz="0" w:space="0" w:color="auto"/>
        <w:left w:val="none" w:sz="0" w:space="0" w:color="auto"/>
        <w:bottom w:val="none" w:sz="0" w:space="0" w:color="auto"/>
        <w:right w:val="none" w:sz="0" w:space="0" w:color="auto"/>
      </w:divBdr>
    </w:div>
    <w:div w:id="1265265809">
      <w:bodyDiv w:val="1"/>
      <w:marLeft w:val="0"/>
      <w:marRight w:val="0"/>
      <w:marTop w:val="0"/>
      <w:marBottom w:val="0"/>
      <w:divBdr>
        <w:top w:val="none" w:sz="0" w:space="0" w:color="auto"/>
        <w:left w:val="none" w:sz="0" w:space="0" w:color="auto"/>
        <w:bottom w:val="none" w:sz="0" w:space="0" w:color="auto"/>
        <w:right w:val="none" w:sz="0" w:space="0" w:color="auto"/>
      </w:divBdr>
    </w:div>
    <w:div w:id="1278560923">
      <w:bodyDiv w:val="1"/>
      <w:marLeft w:val="0"/>
      <w:marRight w:val="0"/>
      <w:marTop w:val="0"/>
      <w:marBottom w:val="0"/>
      <w:divBdr>
        <w:top w:val="none" w:sz="0" w:space="0" w:color="auto"/>
        <w:left w:val="none" w:sz="0" w:space="0" w:color="auto"/>
        <w:bottom w:val="none" w:sz="0" w:space="0" w:color="auto"/>
        <w:right w:val="none" w:sz="0" w:space="0" w:color="auto"/>
      </w:divBdr>
    </w:div>
    <w:div w:id="1305349006">
      <w:bodyDiv w:val="1"/>
      <w:marLeft w:val="0"/>
      <w:marRight w:val="0"/>
      <w:marTop w:val="0"/>
      <w:marBottom w:val="0"/>
      <w:divBdr>
        <w:top w:val="none" w:sz="0" w:space="0" w:color="auto"/>
        <w:left w:val="none" w:sz="0" w:space="0" w:color="auto"/>
        <w:bottom w:val="none" w:sz="0" w:space="0" w:color="auto"/>
        <w:right w:val="none" w:sz="0" w:space="0" w:color="auto"/>
      </w:divBdr>
    </w:div>
    <w:div w:id="1342078950">
      <w:bodyDiv w:val="1"/>
      <w:marLeft w:val="0"/>
      <w:marRight w:val="0"/>
      <w:marTop w:val="0"/>
      <w:marBottom w:val="0"/>
      <w:divBdr>
        <w:top w:val="none" w:sz="0" w:space="0" w:color="auto"/>
        <w:left w:val="none" w:sz="0" w:space="0" w:color="auto"/>
        <w:bottom w:val="none" w:sz="0" w:space="0" w:color="auto"/>
        <w:right w:val="none" w:sz="0" w:space="0" w:color="auto"/>
      </w:divBdr>
    </w:div>
    <w:div w:id="1356495510">
      <w:bodyDiv w:val="1"/>
      <w:marLeft w:val="0"/>
      <w:marRight w:val="0"/>
      <w:marTop w:val="0"/>
      <w:marBottom w:val="0"/>
      <w:divBdr>
        <w:top w:val="none" w:sz="0" w:space="0" w:color="auto"/>
        <w:left w:val="none" w:sz="0" w:space="0" w:color="auto"/>
        <w:bottom w:val="none" w:sz="0" w:space="0" w:color="auto"/>
        <w:right w:val="none" w:sz="0" w:space="0" w:color="auto"/>
      </w:divBdr>
    </w:div>
    <w:div w:id="1359744813">
      <w:bodyDiv w:val="1"/>
      <w:marLeft w:val="0"/>
      <w:marRight w:val="0"/>
      <w:marTop w:val="0"/>
      <w:marBottom w:val="0"/>
      <w:divBdr>
        <w:top w:val="none" w:sz="0" w:space="0" w:color="auto"/>
        <w:left w:val="none" w:sz="0" w:space="0" w:color="auto"/>
        <w:bottom w:val="none" w:sz="0" w:space="0" w:color="auto"/>
        <w:right w:val="none" w:sz="0" w:space="0" w:color="auto"/>
      </w:divBdr>
    </w:div>
    <w:div w:id="1371805630">
      <w:bodyDiv w:val="1"/>
      <w:marLeft w:val="0"/>
      <w:marRight w:val="0"/>
      <w:marTop w:val="0"/>
      <w:marBottom w:val="0"/>
      <w:divBdr>
        <w:top w:val="none" w:sz="0" w:space="0" w:color="auto"/>
        <w:left w:val="none" w:sz="0" w:space="0" w:color="auto"/>
        <w:bottom w:val="none" w:sz="0" w:space="0" w:color="auto"/>
        <w:right w:val="none" w:sz="0" w:space="0" w:color="auto"/>
      </w:divBdr>
    </w:div>
    <w:div w:id="1424496947">
      <w:bodyDiv w:val="1"/>
      <w:marLeft w:val="0"/>
      <w:marRight w:val="0"/>
      <w:marTop w:val="0"/>
      <w:marBottom w:val="0"/>
      <w:divBdr>
        <w:top w:val="none" w:sz="0" w:space="0" w:color="auto"/>
        <w:left w:val="none" w:sz="0" w:space="0" w:color="auto"/>
        <w:bottom w:val="none" w:sz="0" w:space="0" w:color="auto"/>
        <w:right w:val="none" w:sz="0" w:space="0" w:color="auto"/>
      </w:divBdr>
    </w:div>
    <w:div w:id="1452818594">
      <w:bodyDiv w:val="1"/>
      <w:marLeft w:val="0"/>
      <w:marRight w:val="0"/>
      <w:marTop w:val="0"/>
      <w:marBottom w:val="0"/>
      <w:divBdr>
        <w:top w:val="none" w:sz="0" w:space="0" w:color="auto"/>
        <w:left w:val="none" w:sz="0" w:space="0" w:color="auto"/>
        <w:bottom w:val="none" w:sz="0" w:space="0" w:color="auto"/>
        <w:right w:val="none" w:sz="0" w:space="0" w:color="auto"/>
      </w:divBdr>
    </w:div>
    <w:div w:id="1460490435">
      <w:bodyDiv w:val="1"/>
      <w:marLeft w:val="0"/>
      <w:marRight w:val="0"/>
      <w:marTop w:val="0"/>
      <w:marBottom w:val="0"/>
      <w:divBdr>
        <w:top w:val="none" w:sz="0" w:space="0" w:color="auto"/>
        <w:left w:val="none" w:sz="0" w:space="0" w:color="auto"/>
        <w:bottom w:val="none" w:sz="0" w:space="0" w:color="auto"/>
        <w:right w:val="none" w:sz="0" w:space="0" w:color="auto"/>
      </w:divBdr>
    </w:div>
    <w:div w:id="1461925072">
      <w:bodyDiv w:val="1"/>
      <w:marLeft w:val="0"/>
      <w:marRight w:val="0"/>
      <w:marTop w:val="0"/>
      <w:marBottom w:val="0"/>
      <w:divBdr>
        <w:top w:val="none" w:sz="0" w:space="0" w:color="auto"/>
        <w:left w:val="none" w:sz="0" w:space="0" w:color="auto"/>
        <w:bottom w:val="none" w:sz="0" w:space="0" w:color="auto"/>
        <w:right w:val="none" w:sz="0" w:space="0" w:color="auto"/>
      </w:divBdr>
    </w:div>
    <w:div w:id="1467120187">
      <w:bodyDiv w:val="1"/>
      <w:marLeft w:val="0"/>
      <w:marRight w:val="0"/>
      <w:marTop w:val="0"/>
      <w:marBottom w:val="0"/>
      <w:divBdr>
        <w:top w:val="none" w:sz="0" w:space="0" w:color="auto"/>
        <w:left w:val="none" w:sz="0" w:space="0" w:color="auto"/>
        <w:bottom w:val="none" w:sz="0" w:space="0" w:color="auto"/>
        <w:right w:val="none" w:sz="0" w:space="0" w:color="auto"/>
      </w:divBdr>
    </w:div>
    <w:div w:id="1477406707">
      <w:bodyDiv w:val="1"/>
      <w:marLeft w:val="0"/>
      <w:marRight w:val="0"/>
      <w:marTop w:val="0"/>
      <w:marBottom w:val="0"/>
      <w:divBdr>
        <w:top w:val="none" w:sz="0" w:space="0" w:color="auto"/>
        <w:left w:val="none" w:sz="0" w:space="0" w:color="auto"/>
        <w:bottom w:val="none" w:sz="0" w:space="0" w:color="auto"/>
        <w:right w:val="none" w:sz="0" w:space="0" w:color="auto"/>
      </w:divBdr>
    </w:div>
    <w:div w:id="1521041103">
      <w:bodyDiv w:val="1"/>
      <w:marLeft w:val="0"/>
      <w:marRight w:val="0"/>
      <w:marTop w:val="0"/>
      <w:marBottom w:val="0"/>
      <w:divBdr>
        <w:top w:val="none" w:sz="0" w:space="0" w:color="auto"/>
        <w:left w:val="none" w:sz="0" w:space="0" w:color="auto"/>
        <w:bottom w:val="none" w:sz="0" w:space="0" w:color="auto"/>
        <w:right w:val="none" w:sz="0" w:space="0" w:color="auto"/>
      </w:divBdr>
    </w:div>
    <w:div w:id="1563981558">
      <w:bodyDiv w:val="1"/>
      <w:marLeft w:val="0"/>
      <w:marRight w:val="0"/>
      <w:marTop w:val="0"/>
      <w:marBottom w:val="0"/>
      <w:divBdr>
        <w:top w:val="none" w:sz="0" w:space="0" w:color="auto"/>
        <w:left w:val="none" w:sz="0" w:space="0" w:color="auto"/>
        <w:bottom w:val="none" w:sz="0" w:space="0" w:color="auto"/>
        <w:right w:val="none" w:sz="0" w:space="0" w:color="auto"/>
      </w:divBdr>
    </w:div>
    <w:div w:id="1565287972">
      <w:bodyDiv w:val="1"/>
      <w:marLeft w:val="0"/>
      <w:marRight w:val="0"/>
      <w:marTop w:val="0"/>
      <w:marBottom w:val="0"/>
      <w:divBdr>
        <w:top w:val="none" w:sz="0" w:space="0" w:color="auto"/>
        <w:left w:val="none" w:sz="0" w:space="0" w:color="auto"/>
        <w:bottom w:val="none" w:sz="0" w:space="0" w:color="auto"/>
        <w:right w:val="none" w:sz="0" w:space="0" w:color="auto"/>
      </w:divBdr>
    </w:div>
    <w:div w:id="1578712977">
      <w:bodyDiv w:val="1"/>
      <w:marLeft w:val="0"/>
      <w:marRight w:val="0"/>
      <w:marTop w:val="0"/>
      <w:marBottom w:val="0"/>
      <w:divBdr>
        <w:top w:val="none" w:sz="0" w:space="0" w:color="auto"/>
        <w:left w:val="none" w:sz="0" w:space="0" w:color="auto"/>
        <w:bottom w:val="none" w:sz="0" w:space="0" w:color="auto"/>
        <w:right w:val="none" w:sz="0" w:space="0" w:color="auto"/>
      </w:divBdr>
    </w:div>
    <w:div w:id="1596160424">
      <w:bodyDiv w:val="1"/>
      <w:marLeft w:val="0"/>
      <w:marRight w:val="0"/>
      <w:marTop w:val="0"/>
      <w:marBottom w:val="0"/>
      <w:divBdr>
        <w:top w:val="none" w:sz="0" w:space="0" w:color="auto"/>
        <w:left w:val="none" w:sz="0" w:space="0" w:color="auto"/>
        <w:bottom w:val="none" w:sz="0" w:space="0" w:color="auto"/>
        <w:right w:val="none" w:sz="0" w:space="0" w:color="auto"/>
      </w:divBdr>
    </w:div>
    <w:div w:id="1600601226">
      <w:bodyDiv w:val="1"/>
      <w:marLeft w:val="0"/>
      <w:marRight w:val="0"/>
      <w:marTop w:val="0"/>
      <w:marBottom w:val="0"/>
      <w:divBdr>
        <w:top w:val="none" w:sz="0" w:space="0" w:color="auto"/>
        <w:left w:val="none" w:sz="0" w:space="0" w:color="auto"/>
        <w:bottom w:val="none" w:sz="0" w:space="0" w:color="auto"/>
        <w:right w:val="none" w:sz="0" w:space="0" w:color="auto"/>
      </w:divBdr>
    </w:div>
    <w:div w:id="1602058167">
      <w:bodyDiv w:val="1"/>
      <w:marLeft w:val="0"/>
      <w:marRight w:val="0"/>
      <w:marTop w:val="0"/>
      <w:marBottom w:val="0"/>
      <w:divBdr>
        <w:top w:val="none" w:sz="0" w:space="0" w:color="auto"/>
        <w:left w:val="none" w:sz="0" w:space="0" w:color="auto"/>
        <w:bottom w:val="none" w:sz="0" w:space="0" w:color="auto"/>
        <w:right w:val="none" w:sz="0" w:space="0" w:color="auto"/>
      </w:divBdr>
    </w:div>
    <w:div w:id="1626352102">
      <w:bodyDiv w:val="1"/>
      <w:marLeft w:val="0"/>
      <w:marRight w:val="0"/>
      <w:marTop w:val="0"/>
      <w:marBottom w:val="0"/>
      <w:divBdr>
        <w:top w:val="none" w:sz="0" w:space="0" w:color="auto"/>
        <w:left w:val="none" w:sz="0" w:space="0" w:color="auto"/>
        <w:bottom w:val="none" w:sz="0" w:space="0" w:color="auto"/>
        <w:right w:val="none" w:sz="0" w:space="0" w:color="auto"/>
      </w:divBdr>
    </w:div>
    <w:div w:id="1644310790">
      <w:bodyDiv w:val="1"/>
      <w:marLeft w:val="0"/>
      <w:marRight w:val="0"/>
      <w:marTop w:val="0"/>
      <w:marBottom w:val="0"/>
      <w:divBdr>
        <w:top w:val="none" w:sz="0" w:space="0" w:color="auto"/>
        <w:left w:val="none" w:sz="0" w:space="0" w:color="auto"/>
        <w:bottom w:val="none" w:sz="0" w:space="0" w:color="auto"/>
        <w:right w:val="none" w:sz="0" w:space="0" w:color="auto"/>
      </w:divBdr>
    </w:div>
    <w:div w:id="1658606533">
      <w:bodyDiv w:val="1"/>
      <w:marLeft w:val="0"/>
      <w:marRight w:val="0"/>
      <w:marTop w:val="0"/>
      <w:marBottom w:val="0"/>
      <w:divBdr>
        <w:top w:val="none" w:sz="0" w:space="0" w:color="auto"/>
        <w:left w:val="none" w:sz="0" w:space="0" w:color="auto"/>
        <w:bottom w:val="none" w:sz="0" w:space="0" w:color="auto"/>
        <w:right w:val="none" w:sz="0" w:space="0" w:color="auto"/>
      </w:divBdr>
    </w:div>
    <w:div w:id="1701465501">
      <w:bodyDiv w:val="1"/>
      <w:marLeft w:val="0"/>
      <w:marRight w:val="0"/>
      <w:marTop w:val="0"/>
      <w:marBottom w:val="0"/>
      <w:divBdr>
        <w:top w:val="none" w:sz="0" w:space="0" w:color="auto"/>
        <w:left w:val="none" w:sz="0" w:space="0" w:color="auto"/>
        <w:bottom w:val="none" w:sz="0" w:space="0" w:color="auto"/>
        <w:right w:val="none" w:sz="0" w:space="0" w:color="auto"/>
      </w:divBdr>
    </w:div>
    <w:div w:id="1702046355">
      <w:bodyDiv w:val="1"/>
      <w:marLeft w:val="0"/>
      <w:marRight w:val="0"/>
      <w:marTop w:val="0"/>
      <w:marBottom w:val="0"/>
      <w:divBdr>
        <w:top w:val="none" w:sz="0" w:space="0" w:color="auto"/>
        <w:left w:val="none" w:sz="0" w:space="0" w:color="auto"/>
        <w:bottom w:val="none" w:sz="0" w:space="0" w:color="auto"/>
        <w:right w:val="none" w:sz="0" w:space="0" w:color="auto"/>
      </w:divBdr>
    </w:div>
    <w:div w:id="1720397666">
      <w:bodyDiv w:val="1"/>
      <w:marLeft w:val="0"/>
      <w:marRight w:val="0"/>
      <w:marTop w:val="0"/>
      <w:marBottom w:val="0"/>
      <w:divBdr>
        <w:top w:val="none" w:sz="0" w:space="0" w:color="auto"/>
        <w:left w:val="none" w:sz="0" w:space="0" w:color="auto"/>
        <w:bottom w:val="none" w:sz="0" w:space="0" w:color="auto"/>
        <w:right w:val="none" w:sz="0" w:space="0" w:color="auto"/>
      </w:divBdr>
    </w:div>
    <w:div w:id="1739594017">
      <w:bodyDiv w:val="1"/>
      <w:marLeft w:val="0"/>
      <w:marRight w:val="0"/>
      <w:marTop w:val="0"/>
      <w:marBottom w:val="0"/>
      <w:divBdr>
        <w:top w:val="none" w:sz="0" w:space="0" w:color="auto"/>
        <w:left w:val="none" w:sz="0" w:space="0" w:color="auto"/>
        <w:bottom w:val="none" w:sz="0" w:space="0" w:color="auto"/>
        <w:right w:val="none" w:sz="0" w:space="0" w:color="auto"/>
      </w:divBdr>
    </w:div>
    <w:div w:id="1746108338">
      <w:bodyDiv w:val="1"/>
      <w:marLeft w:val="0"/>
      <w:marRight w:val="0"/>
      <w:marTop w:val="0"/>
      <w:marBottom w:val="0"/>
      <w:divBdr>
        <w:top w:val="none" w:sz="0" w:space="0" w:color="auto"/>
        <w:left w:val="none" w:sz="0" w:space="0" w:color="auto"/>
        <w:bottom w:val="none" w:sz="0" w:space="0" w:color="auto"/>
        <w:right w:val="none" w:sz="0" w:space="0" w:color="auto"/>
      </w:divBdr>
    </w:div>
    <w:div w:id="1749425960">
      <w:bodyDiv w:val="1"/>
      <w:marLeft w:val="0"/>
      <w:marRight w:val="0"/>
      <w:marTop w:val="0"/>
      <w:marBottom w:val="0"/>
      <w:divBdr>
        <w:top w:val="none" w:sz="0" w:space="0" w:color="auto"/>
        <w:left w:val="none" w:sz="0" w:space="0" w:color="auto"/>
        <w:bottom w:val="none" w:sz="0" w:space="0" w:color="auto"/>
        <w:right w:val="none" w:sz="0" w:space="0" w:color="auto"/>
      </w:divBdr>
    </w:div>
    <w:div w:id="1762025528">
      <w:bodyDiv w:val="1"/>
      <w:marLeft w:val="0"/>
      <w:marRight w:val="0"/>
      <w:marTop w:val="0"/>
      <w:marBottom w:val="0"/>
      <w:divBdr>
        <w:top w:val="none" w:sz="0" w:space="0" w:color="auto"/>
        <w:left w:val="none" w:sz="0" w:space="0" w:color="auto"/>
        <w:bottom w:val="none" w:sz="0" w:space="0" w:color="auto"/>
        <w:right w:val="none" w:sz="0" w:space="0" w:color="auto"/>
      </w:divBdr>
    </w:div>
    <w:div w:id="1777943356">
      <w:bodyDiv w:val="1"/>
      <w:marLeft w:val="0"/>
      <w:marRight w:val="0"/>
      <w:marTop w:val="0"/>
      <w:marBottom w:val="0"/>
      <w:divBdr>
        <w:top w:val="none" w:sz="0" w:space="0" w:color="auto"/>
        <w:left w:val="none" w:sz="0" w:space="0" w:color="auto"/>
        <w:bottom w:val="none" w:sz="0" w:space="0" w:color="auto"/>
        <w:right w:val="none" w:sz="0" w:space="0" w:color="auto"/>
      </w:divBdr>
    </w:div>
    <w:div w:id="1792701694">
      <w:bodyDiv w:val="1"/>
      <w:marLeft w:val="0"/>
      <w:marRight w:val="0"/>
      <w:marTop w:val="0"/>
      <w:marBottom w:val="0"/>
      <w:divBdr>
        <w:top w:val="none" w:sz="0" w:space="0" w:color="auto"/>
        <w:left w:val="none" w:sz="0" w:space="0" w:color="auto"/>
        <w:bottom w:val="none" w:sz="0" w:space="0" w:color="auto"/>
        <w:right w:val="none" w:sz="0" w:space="0" w:color="auto"/>
      </w:divBdr>
    </w:div>
    <w:div w:id="1798833968">
      <w:bodyDiv w:val="1"/>
      <w:marLeft w:val="0"/>
      <w:marRight w:val="0"/>
      <w:marTop w:val="0"/>
      <w:marBottom w:val="0"/>
      <w:divBdr>
        <w:top w:val="none" w:sz="0" w:space="0" w:color="auto"/>
        <w:left w:val="none" w:sz="0" w:space="0" w:color="auto"/>
        <w:bottom w:val="none" w:sz="0" w:space="0" w:color="auto"/>
        <w:right w:val="none" w:sz="0" w:space="0" w:color="auto"/>
      </w:divBdr>
    </w:div>
    <w:div w:id="1810315950">
      <w:bodyDiv w:val="1"/>
      <w:marLeft w:val="0"/>
      <w:marRight w:val="0"/>
      <w:marTop w:val="0"/>
      <w:marBottom w:val="0"/>
      <w:divBdr>
        <w:top w:val="none" w:sz="0" w:space="0" w:color="auto"/>
        <w:left w:val="none" w:sz="0" w:space="0" w:color="auto"/>
        <w:bottom w:val="none" w:sz="0" w:space="0" w:color="auto"/>
        <w:right w:val="none" w:sz="0" w:space="0" w:color="auto"/>
      </w:divBdr>
    </w:div>
    <w:div w:id="1815559841">
      <w:bodyDiv w:val="1"/>
      <w:marLeft w:val="0"/>
      <w:marRight w:val="0"/>
      <w:marTop w:val="0"/>
      <w:marBottom w:val="0"/>
      <w:divBdr>
        <w:top w:val="none" w:sz="0" w:space="0" w:color="auto"/>
        <w:left w:val="none" w:sz="0" w:space="0" w:color="auto"/>
        <w:bottom w:val="none" w:sz="0" w:space="0" w:color="auto"/>
        <w:right w:val="none" w:sz="0" w:space="0" w:color="auto"/>
      </w:divBdr>
    </w:div>
    <w:div w:id="1815952037">
      <w:bodyDiv w:val="1"/>
      <w:marLeft w:val="0"/>
      <w:marRight w:val="0"/>
      <w:marTop w:val="0"/>
      <w:marBottom w:val="0"/>
      <w:divBdr>
        <w:top w:val="none" w:sz="0" w:space="0" w:color="auto"/>
        <w:left w:val="none" w:sz="0" w:space="0" w:color="auto"/>
        <w:bottom w:val="none" w:sz="0" w:space="0" w:color="auto"/>
        <w:right w:val="none" w:sz="0" w:space="0" w:color="auto"/>
      </w:divBdr>
    </w:div>
    <w:div w:id="1816409276">
      <w:bodyDiv w:val="1"/>
      <w:marLeft w:val="0"/>
      <w:marRight w:val="0"/>
      <w:marTop w:val="0"/>
      <w:marBottom w:val="0"/>
      <w:divBdr>
        <w:top w:val="none" w:sz="0" w:space="0" w:color="auto"/>
        <w:left w:val="none" w:sz="0" w:space="0" w:color="auto"/>
        <w:bottom w:val="none" w:sz="0" w:space="0" w:color="auto"/>
        <w:right w:val="none" w:sz="0" w:space="0" w:color="auto"/>
      </w:divBdr>
    </w:div>
    <w:div w:id="1828015422">
      <w:bodyDiv w:val="1"/>
      <w:marLeft w:val="0"/>
      <w:marRight w:val="0"/>
      <w:marTop w:val="0"/>
      <w:marBottom w:val="0"/>
      <w:divBdr>
        <w:top w:val="none" w:sz="0" w:space="0" w:color="auto"/>
        <w:left w:val="none" w:sz="0" w:space="0" w:color="auto"/>
        <w:bottom w:val="none" w:sz="0" w:space="0" w:color="auto"/>
        <w:right w:val="none" w:sz="0" w:space="0" w:color="auto"/>
      </w:divBdr>
    </w:div>
    <w:div w:id="1839231139">
      <w:bodyDiv w:val="1"/>
      <w:marLeft w:val="0"/>
      <w:marRight w:val="0"/>
      <w:marTop w:val="0"/>
      <w:marBottom w:val="0"/>
      <w:divBdr>
        <w:top w:val="none" w:sz="0" w:space="0" w:color="auto"/>
        <w:left w:val="none" w:sz="0" w:space="0" w:color="auto"/>
        <w:bottom w:val="none" w:sz="0" w:space="0" w:color="auto"/>
        <w:right w:val="none" w:sz="0" w:space="0" w:color="auto"/>
      </w:divBdr>
    </w:div>
    <w:div w:id="1843429199">
      <w:bodyDiv w:val="1"/>
      <w:marLeft w:val="0"/>
      <w:marRight w:val="0"/>
      <w:marTop w:val="0"/>
      <w:marBottom w:val="0"/>
      <w:divBdr>
        <w:top w:val="none" w:sz="0" w:space="0" w:color="auto"/>
        <w:left w:val="none" w:sz="0" w:space="0" w:color="auto"/>
        <w:bottom w:val="none" w:sz="0" w:space="0" w:color="auto"/>
        <w:right w:val="none" w:sz="0" w:space="0" w:color="auto"/>
      </w:divBdr>
    </w:div>
    <w:div w:id="1854608175">
      <w:bodyDiv w:val="1"/>
      <w:marLeft w:val="0"/>
      <w:marRight w:val="0"/>
      <w:marTop w:val="0"/>
      <w:marBottom w:val="0"/>
      <w:divBdr>
        <w:top w:val="none" w:sz="0" w:space="0" w:color="auto"/>
        <w:left w:val="none" w:sz="0" w:space="0" w:color="auto"/>
        <w:bottom w:val="none" w:sz="0" w:space="0" w:color="auto"/>
        <w:right w:val="none" w:sz="0" w:space="0" w:color="auto"/>
      </w:divBdr>
    </w:div>
    <w:div w:id="1878345430">
      <w:bodyDiv w:val="1"/>
      <w:marLeft w:val="0"/>
      <w:marRight w:val="0"/>
      <w:marTop w:val="0"/>
      <w:marBottom w:val="0"/>
      <w:divBdr>
        <w:top w:val="none" w:sz="0" w:space="0" w:color="auto"/>
        <w:left w:val="none" w:sz="0" w:space="0" w:color="auto"/>
        <w:bottom w:val="none" w:sz="0" w:space="0" w:color="auto"/>
        <w:right w:val="none" w:sz="0" w:space="0" w:color="auto"/>
      </w:divBdr>
    </w:div>
    <w:div w:id="1888486426">
      <w:bodyDiv w:val="1"/>
      <w:marLeft w:val="0"/>
      <w:marRight w:val="0"/>
      <w:marTop w:val="0"/>
      <w:marBottom w:val="0"/>
      <w:divBdr>
        <w:top w:val="none" w:sz="0" w:space="0" w:color="auto"/>
        <w:left w:val="none" w:sz="0" w:space="0" w:color="auto"/>
        <w:bottom w:val="none" w:sz="0" w:space="0" w:color="auto"/>
        <w:right w:val="none" w:sz="0" w:space="0" w:color="auto"/>
      </w:divBdr>
    </w:div>
    <w:div w:id="1889610267">
      <w:bodyDiv w:val="1"/>
      <w:marLeft w:val="0"/>
      <w:marRight w:val="0"/>
      <w:marTop w:val="0"/>
      <w:marBottom w:val="0"/>
      <w:divBdr>
        <w:top w:val="none" w:sz="0" w:space="0" w:color="auto"/>
        <w:left w:val="none" w:sz="0" w:space="0" w:color="auto"/>
        <w:bottom w:val="none" w:sz="0" w:space="0" w:color="auto"/>
        <w:right w:val="none" w:sz="0" w:space="0" w:color="auto"/>
      </w:divBdr>
    </w:div>
    <w:div w:id="1906138081">
      <w:bodyDiv w:val="1"/>
      <w:marLeft w:val="0"/>
      <w:marRight w:val="0"/>
      <w:marTop w:val="0"/>
      <w:marBottom w:val="0"/>
      <w:divBdr>
        <w:top w:val="none" w:sz="0" w:space="0" w:color="auto"/>
        <w:left w:val="none" w:sz="0" w:space="0" w:color="auto"/>
        <w:bottom w:val="none" w:sz="0" w:space="0" w:color="auto"/>
        <w:right w:val="none" w:sz="0" w:space="0" w:color="auto"/>
      </w:divBdr>
    </w:div>
    <w:div w:id="1934243663">
      <w:bodyDiv w:val="1"/>
      <w:marLeft w:val="0"/>
      <w:marRight w:val="0"/>
      <w:marTop w:val="0"/>
      <w:marBottom w:val="0"/>
      <w:divBdr>
        <w:top w:val="none" w:sz="0" w:space="0" w:color="auto"/>
        <w:left w:val="none" w:sz="0" w:space="0" w:color="auto"/>
        <w:bottom w:val="none" w:sz="0" w:space="0" w:color="auto"/>
        <w:right w:val="none" w:sz="0" w:space="0" w:color="auto"/>
      </w:divBdr>
    </w:div>
    <w:div w:id="1945378780">
      <w:bodyDiv w:val="1"/>
      <w:marLeft w:val="0"/>
      <w:marRight w:val="0"/>
      <w:marTop w:val="0"/>
      <w:marBottom w:val="0"/>
      <w:divBdr>
        <w:top w:val="none" w:sz="0" w:space="0" w:color="auto"/>
        <w:left w:val="none" w:sz="0" w:space="0" w:color="auto"/>
        <w:bottom w:val="none" w:sz="0" w:space="0" w:color="auto"/>
        <w:right w:val="none" w:sz="0" w:space="0" w:color="auto"/>
      </w:divBdr>
    </w:div>
    <w:div w:id="1950314930">
      <w:bodyDiv w:val="1"/>
      <w:marLeft w:val="0"/>
      <w:marRight w:val="0"/>
      <w:marTop w:val="0"/>
      <w:marBottom w:val="0"/>
      <w:divBdr>
        <w:top w:val="none" w:sz="0" w:space="0" w:color="auto"/>
        <w:left w:val="none" w:sz="0" w:space="0" w:color="auto"/>
        <w:bottom w:val="none" w:sz="0" w:space="0" w:color="auto"/>
        <w:right w:val="none" w:sz="0" w:space="0" w:color="auto"/>
      </w:divBdr>
    </w:div>
    <w:div w:id="1965764940">
      <w:bodyDiv w:val="1"/>
      <w:marLeft w:val="0"/>
      <w:marRight w:val="0"/>
      <w:marTop w:val="0"/>
      <w:marBottom w:val="0"/>
      <w:divBdr>
        <w:top w:val="none" w:sz="0" w:space="0" w:color="auto"/>
        <w:left w:val="none" w:sz="0" w:space="0" w:color="auto"/>
        <w:bottom w:val="none" w:sz="0" w:space="0" w:color="auto"/>
        <w:right w:val="none" w:sz="0" w:space="0" w:color="auto"/>
      </w:divBdr>
    </w:div>
    <w:div w:id="1977180243">
      <w:bodyDiv w:val="1"/>
      <w:marLeft w:val="0"/>
      <w:marRight w:val="0"/>
      <w:marTop w:val="0"/>
      <w:marBottom w:val="0"/>
      <w:divBdr>
        <w:top w:val="none" w:sz="0" w:space="0" w:color="auto"/>
        <w:left w:val="none" w:sz="0" w:space="0" w:color="auto"/>
        <w:bottom w:val="none" w:sz="0" w:space="0" w:color="auto"/>
        <w:right w:val="none" w:sz="0" w:space="0" w:color="auto"/>
      </w:divBdr>
    </w:div>
    <w:div w:id="1987468654">
      <w:bodyDiv w:val="1"/>
      <w:marLeft w:val="0"/>
      <w:marRight w:val="0"/>
      <w:marTop w:val="0"/>
      <w:marBottom w:val="0"/>
      <w:divBdr>
        <w:top w:val="none" w:sz="0" w:space="0" w:color="auto"/>
        <w:left w:val="none" w:sz="0" w:space="0" w:color="auto"/>
        <w:bottom w:val="none" w:sz="0" w:space="0" w:color="auto"/>
        <w:right w:val="none" w:sz="0" w:space="0" w:color="auto"/>
      </w:divBdr>
    </w:div>
    <w:div w:id="1991901845">
      <w:bodyDiv w:val="1"/>
      <w:marLeft w:val="0"/>
      <w:marRight w:val="0"/>
      <w:marTop w:val="0"/>
      <w:marBottom w:val="0"/>
      <w:divBdr>
        <w:top w:val="none" w:sz="0" w:space="0" w:color="auto"/>
        <w:left w:val="none" w:sz="0" w:space="0" w:color="auto"/>
        <w:bottom w:val="none" w:sz="0" w:space="0" w:color="auto"/>
        <w:right w:val="none" w:sz="0" w:space="0" w:color="auto"/>
      </w:divBdr>
    </w:div>
    <w:div w:id="2038852891">
      <w:bodyDiv w:val="1"/>
      <w:marLeft w:val="0"/>
      <w:marRight w:val="0"/>
      <w:marTop w:val="0"/>
      <w:marBottom w:val="0"/>
      <w:divBdr>
        <w:top w:val="none" w:sz="0" w:space="0" w:color="auto"/>
        <w:left w:val="none" w:sz="0" w:space="0" w:color="auto"/>
        <w:bottom w:val="none" w:sz="0" w:space="0" w:color="auto"/>
        <w:right w:val="none" w:sz="0" w:space="0" w:color="auto"/>
      </w:divBdr>
    </w:div>
    <w:div w:id="2043744976">
      <w:bodyDiv w:val="1"/>
      <w:marLeft w:val="0"/>
      <w:marRight w:val="0"/>
      <w:marTop w:val="0"/>
      <w:marBottom w:val="0"/>
      <w:divBdr>
        <w:top w:val="none" w:sz="0" w:space="0" w:color="auto"/>
        <w:left w:val="none" w:sz="0" w:space="0" w:color="auto"/>
        <w:bottom w:val="none" w:sz="0" w:space="0" w:color="auto"/>
        <w:right w:val="none" w:sz="0" w:space="0" w:color="auto"/>
      </w:divBdr>
    </w:div>
    <w:div w:id="2070565701">
      <w:bodyDiv w:val="1"/>
      <w:marLeft w:val="0"/>
      <w:marRight w:val="0"/>
      <w:marTop w:val="0"/>
      <w:marBottom w:val="0"/>
      <w:divBdr>
        <w:top w:val="none" w:sz="0" w:space="0" w:color="auto"/>
        <w:left w:val="none" w:sz="0" w:space="0" w:color="auto"/>
        <w:bottom w:val="none" w:sz="0" w:space="0" w:color="auto"/>
        <w:right w:val="none" w:sz="0" w:space="0" w:color="auto"/>
      </w:divBdr>
    </w:div>
    <w:div w:id="2120101830">
      <w:bodyDiv w:val="1"/>
      <w:marLeft w:val="0"/>
      <w:marRight w:val="0"/>
      <w:marTop w:val="0"/>
      <w:marBottom w:val="0"/>
      <w:divBdr>
        <w:top w:val="none" w:sz="0" w:space="0" w:color="auto"/>
        <w:left w:val="none" w:sz="0" w:space="0" w:color="auto"/>
        <w:bottom w:val="none" w:sz="0" w:space="0" w:color="auto"/>
        <w:right w:val="none" w:sz="0" w:space="0" w:color="auto"/>
      </w:divBdr>
    </w:div>
    <w:div w:id="212318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chart" Target="charts/chart4.xml"/><Relationship Id="rId26" Type="http://schemas.openxmlformats.org/officeDocument/2006/relationships/chart" Target="charts/chart7.xml"/><Relationship Id="rId39" Type="http://schemas.openxmlformats.org/officeDocument/2006/relationships/hyperlink" Target="https://gino.istat.it/statocivile/" TargetMode="External"/><Relationship Id="rId34" Type="http://schemas.openxmlformats.org/officeDocument/2006/relationships/hyperlink" Target="https://gino.istat.it/statocivile/" TargetMode="External"/><Relationship Id="rId42" Type="http://schemas.openxmlformats.org/officeDocument/2006/relationships/hyperlink" Target="http://dati.istat.it/%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footer" Target="footer4.xml"/><Relationship Id="rId41" Type="http://schemas.openxmlformats.org/officeDocument/2006/relationships/hyperlink" Target="https://www.istat.it/it/archivio/67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5.png"/><Relationship Id="rId32" Type="http://schemas.openxmlformats.org/officeDocument/2006/relationships/hyperlink" Target="https://www.istat.it/it/archivio/6747" TargetMode="External"/><Relationship Id="rId37" Type="http://schemas.openxmlformats.org/officeDocument/2006/relationships/hyperlink" Target="http://demo.istat.it/" TargetMode="External"/><Relationship Id="rId40" Type="http://schemas.openxmlformats.org/officeDocument/2006/relationships/hyperlink" Target="https://www.istat.it/it/archivio/678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4.png"/><Relationship Id="rId28" Type="http://schemas.openxmlformats.org/officeDocument/2006/relationships/header" Target="header2.xml"/><Relationship Id="rId36" Type="http://schemas.openxmlformats.org/officeDocument/2006/relationships/hyperlink" Target="https://www.istat.it/it/archivio/6747" TargetMode="External"/><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hyperlink" Target="https://www.istat.it/it/archivio/6789"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7" Type="http://schemas.openxmlformats.org/officeDocument/2006/relationships/chart" Target="charts/chart8.xml"/><Relationship Id="rId30" Type="http://schemas.openxmlformats.org/officeDocument/2006/relationships/hyperlink" Target="https://gino.istat.it/statocivile/" TargetMode="External"/><Relationship Id="rId35" Type="http://schemas.openxmlformats.org/officeDocument/2006/relationships/hyperlink" Target="https://www.istat.it/it/archivio/6789" TargetMode="External"/><Relationship Id="rId43" Type="http://schemas.openxmlformats.org/officeDocument/2006/relationships/hyperlink" Target="http://demo.istat.it/altridati/separazionidivorzi/"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chart" Target="charts/chart6.xml"/><Relationship Id="rId33" Type="http://schemas.openxmlformats.org/officeDocument/2006/relationships/hyperlink" Target="http://demo.istat.it/altridati/matrimoni/" TargetMode="External"/><Relationship Id="rId38" Type="http://schemas.openxmlformats.org/officeDocument/2006/relationships/hyperlink" Target="https://gino.istat.it/giustizia/" TargetMode="External"/><Relationship Id="rId46"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mailto:cicastag@istat.it" TargetMode="External"/><Relationship Id="rId1" Type="http://schemas.openxmlformats.org/officeDocument/2006/relationships/hyperlink" Target="mailto:guarneri@istat.it"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ufficiostampa@istat.it" TargetMode="External"/><Relationship Id="rId2" Type="http://schemas.openxmlformats.org/officeDocument/2006/relationships/hyperlink" Target="https://contact.istat.it/" TargetMode="External"/><Relationship Id="rId1" Type="http://schemas.openxmlformats.org/officeDocument/2006/relationships/hyperlink" Target="mailto:ufficiostampa@istat.it" TargetMode="External"/><Relationship Id="rId5" Type="http://schemas.openxmlformats.org/officeDocument/2006/relationships/image" Target="media/image2.jpg"/><Relationship Id="rId4" Type="http://schemas.openxmlformats.org/officeDocument/2006/relationships/hyperlink" Target="https://contact.istat.i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emf"/></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pc.istat.it\xendesktop\DaaS\guarneri\My%20Documents\stat%20report%202022_dicembre%202023\Tavole%20e%20grafici%20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pc.istat.it\xendesktop\DaaS\guarneri\My%20Documents\stat%20report%202022_dicembre%202023\Unioni%20per%20sesso%20e%20regione%20e%20quozienti%20per%20centomila.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pc.istat.it\xendesktop\DaaS\guarneri\My%20Documents\stat%20report%202022_dicembre%202023\sep_div_grafici%20stat%20report.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file:///\\pc.istat.it\xendesktop\DaaS\guarneri\My%20Documents\stat%20report%202022_dicembre%202023\Tavole%20e%20grafici%202022_diffusi%20con%20stat%20re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pc.istat.it\xendesktop\DaaS\guarneri\My%20Documents\stat%20report%202022_dicembre%202023\Tavole%20e%20grafici%202022_diffusi%20con%20stat%20repo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pc.istat.it\xendesktop\DaaS\guarneri\My%20Documents\stat%20report%202022_dicembre%202023\sep_div_grafici%20stat%20repo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pc.istat.it\xendesktop\DaaS\guarneri\My%20Documents\stat%20report%202022_dicembre%202023\sep_div_grafici%20stat%20repo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pc.istat.it\xendesktop\DaaS\guarneri\My%20Documents\stat%20report%202022_dicembre%202023\sep_div_grafici%20stat%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3131746031746035E-2"/>
          <c:y val="0.11741263746990303"/>
          <c:w val="0.94643761872108334"/>
          <c:h val="0.5038875512461769"/>
        </c:manualLayout>
      </c:layout>
      <c:barChart>
        <c:barDir val="col"/>
        <c:grouping val="clustered"/>
        <c:varyColors val="0"/>
        <c:ser>
          <c:idx val="2"/>
          <c:order val="0"/>
          <c:tx>
            <c:v>Matrimoni successivi al primo %</c:v>
          </c:tx>
          <c:spPr>
            <a:solidFill>
              <a:srgbClr val="1F497D"/>
            </a:solidFill>
          </c:spPr>
          <c:invertIfNegative val="0"/>
          <c:cat>
            <c:strRef>
              <c:f>('Fig. 1 Matr. succ. e alm stra'!$A$5:$A$8,'Fig. 1 Matr. succ. e alm stra'!$A$10:$A$26)</c:f>
              <c:strCache>
                <c:ptCount val="21"/>
                <c:pt idx="0">
                  <c:v>Piemonte</c:v>
                </c:pt>
                <c:pt idx="1">
                  <c:v>Valle d'Aosta-Vallée d'Aoste</c:v>
                </c:pt>
                <c:pt idx="2">
                  <c:v>Liguria</c:v>
                </c:pt>
                <c:pt idx="3">
                  <c:v>Lombardia</c:v>
                </c:pt>
                <c:pt idx="4">
                  <c:v>Bolzano/Bozen</c:v>
                </c:pt>
                <c:pt idx="5">
                  <c:v>Trento</c:v>
                </c:pt>
                <c:pt idx="6">
                  <c:v>Veneto</c:v>
                </c:pt>
                <c:pt idx="7">
                  <c:v>Friuli-Venezia Giulia</c:v>
                </c:pt>
                <c:pt idx="8">
                  <c:v>Emilia-Romagna</c:v>
                </c:pt>
                <c:pt idx="9">
                  <c:v>Toscana</c:v>
                </c:pt>
                <c:pt idx="10">
                  <c:v>Umbria</c:v>
                </c:pt>
                <c:pt idx="11">
                  <c:v>Marche</c:v>
                </c:pt>
                <c:pt idx="12">
                  <c:v>Lazio</c:v>
                </c:pt>
                <c:pt idx="13">
                  <c:v>Abruzzo</c:v>
                </c:pt>
                <c:pt idx="14">
                  <c:v>Molise</c:v>
                </c:pt>
                <c:pt idx="15">
                  <c:v>Campania</c:v>
                </c:pt>
                <c:pt idx="16">
                  <c:v>Puglia</c:v>
                </c:pt>
                <c:pt idx="17">
                  <c:v>Basilicata</c:v>
                </c:pt>
                <c:pt idx="18">
                  <c:v>Calabria</c:v>
                </c:pt>
                <c:pt idx="19">
                  <c:v>Sicilia</c:v>
                </c:pt>
                <c:pt idx="20">
                  <c:v>Sardegna</c:v>
                </c:pt>
              </c:strCache>
            </c:strRef>
          </c:cat>
          <c:val>
            <c:numRef>
              <c:f>('Fig. 1 Matr. succ. e alm stra'!$Q$5:$Q$8,'Fig. 1 Matr. succ. e alm stra'!$Q$10:$Q$26)</c:f>
              <c:numCache>
                <c:formatCode>#,##0.0</c:formatCode>
                <c:ptCount val="21"/>
                <c:pt idx="0">
                  <c:v>30.529088233015727</c:v>
                </c:pt>
                <c:pt idx="1">
                  <c:v>32.066508313539195</c:v>
                </c:pt>
                <c:pt idx="2">
                  <c:v>34.511092851273624</c:v>
                </c:pt>
                <c:pt idx="3">
                  <c:v>28.16815742397138</c:v>
                </c:pt>
                <c:pt idx="4">
                  <c:v>23.956989247311828</c:v>
                </c:pt>
                <c:pt idx="5">
                  <c:v>26.145900581020015</c:v>
                </c:pt>
                <c:pt idx="6">
                  <c:v>27.182526011162405</c:v>
                </c:pt>
                <c:pt idx="7">
                  <c:v>32.604197457877625</c:v>
                </c:pt>
                <c:pt idx="8">
                  <c:v>29.856881851400729</c:v>
                </c:pt>
                <c:pt idx="9">
                  <c:v>25.814557333109978</c:v>
                </c:pt>
                <c:pt idx="10">
                  <c:v>23.618090452261306</c:v>
                </c:pt>
                <c:pt idx="11">
                  <c:v>23.613053613053616</c:v>
                </c:pt>
                <c:pt idx="12">
                  <c:v>25.61978473817874</c:v>
                </c:pt>
                <c:pt idx="13">
                  <c:v>20.91930007834944</c:v>
                </c:pt>
                <c:pt idx="14">
                  <c:v>15.066964285714285</c:v>
                </c:pt>
                <c:pt idx="15">
                  <c:v>11.579426490669094</c:v>
                </c:pt>
                <c:pt idx="16">
                  <c:v>15.34932221063608</c:v>
                </c:pt>
                <c:pt idx="17">
                  <c:v>9.5088819226750267</c:v>
                </c:pt>
                <c:pt idx="18">
                  <c:v>10.924006908462868</c:v>
                </c:pt>
                <c:pt idx="19">
                  <c:v>14.98484192291035</c:v>
                </c:pt>
                <c:pt idx="20">
                  <c:v>23.552570634553032</c:v>
                </c:pt>
              </c:numCache>
            </c:numRef>
          </c:val>
          <c:extLst>
            <c:ext xmlns:c16="http://schemas.microsoft.com/office/drawing/2014/chart" uri="{C3380CC4-5D6E-409C-BE32-E72D297353CC}">
              <c16:uniqueId val="{00000000-827C-4D79-813B-04D1F21CF65D}"/>
            </c:ext>
          </c:extLst>
        </c:ser>
        <c:ser>
          <c:idx val="1"/>
          <c:order val="1"/>
          <c:tx>
            <c:v>Matrimoni con almeno uno straniero %</c:v>
          </c:tx>
          <c:spPr>
            <a:solidFill>
              <a:srgbClr val="E42618"/>
            </a:solidFill>
          </c:spPr>
          <c:invertIfNegative val="0"/>
          <c:cat>
            <c:strRef>
              <c:f>('Fig. 1 Matr. succ. e alm stra'!$A$5:$A$8,'Fig. 1 Matr. succ. e alm stra'!$A$10:$A$26)</c:f>
              <c:strCache>
                <c:ptCount val="21"/>
                <c:pt idx="0">
                  <c:v>Piemonte</c:v>
                </c:pt>
                <c:pt idx="1">
                  <c:v>Valle d'Aosta-Vallée d'Aoste</c:v>
                </c:pt>
                <c:pt idx="2">
                  <c:v>Liguria</c:v>
                </c:pt>
                <c:pt idx="3">
                  <c:v>Lombardia</c:v>
                </c:pt>
                <c:pt idx="4">
                  <c:v>Bolzano/Bozen</c:v>
                </c:pt>
                <c:pt idx="5">
                  <c:v>Trento</c:v>
                </c:pt>
                <c:pt idx="6">
                  <c:v>Veneto</c:v>
                </c:pt>
                <c:pt idx="7">
                  <c:v>Friuli-Venezia Giulia</c:v>
                </c:pt>
                <c:pt idx="8">
                  <c:v>Emilia-Romagna</c:v>
                </c:pt>
                <c:pt idx="9">
                  <c:v>Toscana</c:v>
                </c:pt>
                <c:pt idx="10">
                  <c:v>Umbria</c:v>
                </c:pt>
                <c:pt idx="11">
                  <c:v>Marche</c:v>
                </c:pt>
                <c:pt idx="12">
                  <c:v>Lazio</c:v>
                </c:pt>
                <c:pt idx="13">
                  <c:v>Abruzzo</c:v>
                </c:pt>
                <c:pt idx="14">
                  <c:v>Molise</c:v>
                </c:pt>
                <c:pt idx="15">
                  <c:v>Campania</c:v>
                </c:pt>
                <c:pt idx="16">
                  <c:v>Puglia</c:v>
                </c:pt>
                <c:pt idx="17">
                  <c:v>Basilicata</c:v>
                </c:pt>
                <c:pt idx="18">
                  <c:v>Calabria</c:v>
                </c:pt>
                <c:pt idx="19">
                  <c:v>Sicilia</c:v>
                </c:pt>
                <c:pt idx="20">
                  <c:v>Sardegna</c:v>
                </c:pt>
              </c:strCache>
            </c:strRef>
          </c:cat>
          <c:val>
            <c:numRef>
              <c:f>('Fig. 1 Matr. succ. e alm stra'!$AB$5:$AB$8,'Fig. 1 Matr. succ. e alm stra'!$AB$10:$AB$26)</c:f>
              <c:numCache>
                <c:formatCode>#,##0.0</c:formatCode>
                <c:ptCount val="21"/>
                <c:pt idx="0">
                  <c:v>17.034627004415523</c:v>
                </c:pt>
                <c:pt idx="1">
                  <c:v>18.76484560570071</c:v>
                </c:pt>
                <c:pt idx="2">
                  <c:v>19.638455217748565</c:v>
                </c:pt>
                <c:pt idx="3">
                  <c:v>20.075134168157422</c:v>
                </c:pt>
                <c:pt idx="4">
                  <c:v>27.913978494623652</c:v>
                </c:pt>
                <c:pt idx="5">
                  <c:v>18.721755971594579</c:v>
                </c:pt>
                <c:pt idx="6">
                  <c:v>20.533314959002276</c:v>
                </c:pt>
                <c:pt idx="7">
                  <c:v>19.775347324859595</c:v>
                </c:pt>
                <c:pt idx="8">
                  <c:v>20.668392204628503</c:v>
                </c:pt>
                <c:pt idx="9">
                  <c:v>23.008627188206717</c:v>
                </c:pt>
                <c:pt idx="10">
                  <c:v>21.105527638190953</c:v>
                </c:pt>
                <c:pt idx="11">
                  <c:v>16.433566433566433</c:v>
                </c:pt>
                <c:pt idx="12">
                  <c:v>17.946547345507316</c:v>
                </c:pt>
                <c:pt idx="13">
                  <c:v>13.476103421258815</c:v>
                </c:pt>
                <c:pt idx="14">
                  <c:v>10.15625</c:v>
                </c:pt>
                <c:pt idx="15">
                  <c:v>9.4538006372325896</c:v>
                </c:pt>
                <c:pt idx="16">
                  <c:v>7.6259993048314207</c:v>
                </c:pt>
                <c:pt idx="17">
                  <c:v>7.6802507836990594</c:v>
                </c:pt>
                <c:pt idx="18">
                  <c:v>7.9591249280368457</c:v>
                </c:pt>
                <c:pt idx="19">
                  <c:v>7.9200952793417061</c:v>
                </c:pt>
                <c:pt idx="20">
                  <c:v>11.949976841130153</c:v>
                </c:pt>
              </c:numCache>
            </c:numRef>
          </c:val>
          <c:extLst>
            <c:ext xmlns:c16="http://schemas.microsoft.com/office/drawing/2014/chart" uri="{C3380CC4-5D6E-409C-BE32-E72D297353CC}">
              <c16:uniqueId val="{00000001-827C-4D79-813B-04D1F21CF65D}"/>
            </c:ext>
          </c:extLst>
        </c:ser>
        <c:dLbls>
          <c:showLegendKey val="0"/>
          <c:showVal val="0"/>
          <c:showCatName val="0"/>
          <c:showSerName val="0"/>
          <c:showPercent val="0"/>
          <c:showBubbleSize val="0"/>
        </c:dLbls>
        <c:gapWidth val="90"/>
        <c:axId val="120482864"/>
        <c:axId val="120480688"/>
      </c:barChart>
      <c:catAx>
        <c:axId val="120482864"/>
        <c:scaling>
          <c:orientation val="minMax"/>
        </c:scaling>
        <c:delete val="0"/>
        <c:axPos val="b"/>
        <c:majorGridlines>
          <c:spPr>
            <a:ln w="3175">
              <a:solidFill>
                <a:schemeClr val="bg1"/>
              </a:solidFill>
            </a:ln>
          </c:spPr>
        </c:majorGridlines>
        <c:numFmt formatCode="General" sourceLinked="1"/>
        <c:majorTickMark val="out"/>
        <c:minorTickMark val="none"/>
        <c:tickLblPos val="low"/>
        <c:spPr>
          <a:ln w="12700">
            <a:solidFill>
              <a:schemeClr val="bg1"/>
            </a:solidFill>
            <a:prstDash val="solid"/>
          </a:ln>
        </c:spPr>
        <c:txPr>
          <a:bodyPr rot="-5400000" vert="horz"/>
          <a:lstStyle/>
          <a:p>
            <a:pPr>
              <a:defRPr b="1"/>
            </a:pPr>
            <a:endParaRPr lang="it-IT"/>
          </a:p>
        </c:txPr>
        <c:crossAx val="120480688"/>
        <c:crosses val="autoZero"/>
        <c:auto val="1"/>
        <c:lblAlgn val="ctr"/>
        <c:lblOffset val="0"/>
        <c:tickLblSkip val="1"/>
        <c:tickMarkSkip val="1"/>
        <c:noMultiLvlLbl val="0"/>
      </c:catAx>
      <c:valAx>
        <c:axId val="120480688"/>
        <c:scaling>
          <c:orientation val="minMax"/>
          <c:max val="35"/>
          <c:min val="0"/>
        </c:scaling>
        <c:delete val="0"/>
        <c:axPos val="l"/>
        <c:majorGridlines>
          <c:spPr>
            <a:ln w="3175">
              <a:solidFill>
                <a:schemeClr val="bg1"/>
              </a:solidFill>
            </a:ln>
          </c:spPr>
        </c:majorGridlines>
        <c:numFmt formatCode="0" sourceLinked="0"/>
        <c:majorTickMark val="out"/>
        <c:minorTickMark val="none"/>
        <c:tickLblPos val="nextTo"/>
        <c:spPr>
          <a:ln w="12700">
            <a:solidFill>
              <a:schemeClr val="bg1"/>
            </a:solidFill>
            <a:prstDash val="solid"/>
          </a:ln>
        </c:spPr>
        <c:txPr>
          <a:bodyPr rot="0" vert="horz"/>
          <a:lstStyle/>
          <a:p>
            <a:pPr>
              <a:defRPr/>
            </a:pPr>
            <a:endParaRPr lang="it-IT"/>
          </a:p>
        </c:txPr>
        <c:crossAx val="120482864"/>
        <c:crosses val="autoZero"/>
        <c:crossBetween val="between"/>
        <c:majorUnit val="5"/>
      </c:valAx>
      <c:spPr>
        <a:noFill/>
        <a:ln w="25400">
          <a:noFill/>
        </a:ln>
      </c:spPr>
    </c:plotArea>
    <c:legend>
      <c:legendPos val="r"/>
      <c:layout>
        <c:manualLayout>
          <c:xMode val="edge"/>
          <c:yMode val="edge"/>
          <c:x val="0.12482603174603177"/>
          <c:y val="2.2172514088493111E-3"/>
          <c:w val="0.7342426984126984"/>
          <c:h val="9.0163886994440653E-2"/>
        </c:manualLayout>
      </c:layout>
      <c:overlay val="0"/>
      <c:spPr>
        <a:noFill/>
        <a:ln w="25400">
          <a:noFill/>
        </a:ln>
      </c:spPr>
    </c:legend>
    <c:plotVisOnly val="1"/>
    <c:dispBlanksAs val="gap"/>
    <c:showDLblsOverMax val="0"/>
  </c:chart>
  <c:spPr>
    <a:noFill/>
    <a:ln w="9525">
      <a:noFill/>
    </a:ln>
  </c:spPr>
  <c:txPr>
    <a:bodyPr/>
    <a:lstStyle/>
    <a:p>
      <a:pPr>
        <a:defRPr sz="900" b="0" i="0" u="none" strike="noStrike" baseline="0">
          <a:solidFill>
            <a:schemeClr val="tx1">
              <a:lumMod val="75000"/>
              <a:lumOff val="25000"/>
            </a:schemeClr>
          </a:solidFill>
          <a:latin typeface="Arial Narrow"/>
          <a:ea typeface="Arial Narrow"/>
          <a:cs typeface="Arial Narrow"/>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44456438912878E-2"/>
          <c:y val="0.17824212962962963"/>
          <c:w val="0.88872253619507235"/>
          <c:h val="0.41483657407407404"/>
        </c:manualLayout>
      </c:layout>
      <c:barChart>
        <c:barDir val="col"/>
        <c:grouping val="percentStacked"/>
        <c:varyColors val="0"/>
        <c:ser>
          <c:idx val="0"/>
          <c:order val="0"/>
          <c:tx>
            <c:strRef>
              <c:f>'Fig. 4 Unioni per sesso e reg'!$AG$2</c:f>
              <c:strCache>
                <c:ptCount val="1"/>
                <c:pt idx="0">
                  <c:v>Unioni civili di
uomini</c:v>
                </c:pt>
              </c:strCache>
            </c:strRef>
          </c:tx>
          <c:spPr>
            <a:solidFill>
              <a:srgbClr val="1F497D"/>
            </a:solidFill>
          </c:spPr>
          <c:invertIfNegative val="0"/>
          <c:cat>
            <c:strRef>
              <c:f>'Fig. 4 Unioni per sesso e reg'!$A$4:$A$26</c:f>
              <c:strCache>
                <c:ptCount val="23"/>
                <c:pt idx="0">
                  <c:v>Piemonte</c:v>
                </c:pt>
                <c:pt idx="1">
                  <c:v>Valle d'Aosta-Vallée d'Aoste</c:v>
                </c:pt>
                <c:pt idx="2">
                  <c:v>Liguria</c:v>
                </c:pt>
                <c:pt idx="3">
                  <c:v>Lombardia</c:v>
                </c:pt>
                <c:pt idx="4">
                  <c:v>Trentino-Alto Adige</c:v>
                </c:pt>
                <c:pt idx="5">
                  <c:v>Bolzano</c:v>
                </c:pt>
                <c:pt idx="6">
                  <c:v>Trento</c:v>
                </c:pt>
                <c:pt idx="7">
                  <c:v>Veneto</c:v>
                </c:pt>
                <c:pt idx="8">
                  <c:v>Friuli-Venezia Giulia</c:v>
                </c:pt>
                <c:pt idx="9">
                  <c:v>Emilia-Romagna</c:v>
                </c:pt>
                <c:pt idx="10">
                  <c:v>Toscana</c:v>
                </c:pt>
                <c:pt idx="11">
                  <c:v>Umbria</c:v>
                </c:pt>
                <c:pt idx="12">
                  <c:v>Marche</c:v>
                </c:pt>
                <c:pt idx="13">
                  <c:v>Lazio</c:v>
                </c:pt>
                <c:pt idx="14">
                  <c:v>Abruzzo</c:v>
                </c:pt>
                <c:pt idx="15">
                  <c:v>Molise</c:v>
                </c:pt>
                <c:pt idx="16">
                  <c:v>Campania</c:v>
                </c:pt>
                <c:pt idx="17">
                  <c:v>Puglia</c:v>
                </c:pt>
                <c:pt idx="18">
                  <c:v>Basilicata</c:v>
                </c:pt>
                <c:pt idx="19">
                  <c:v>Calabria</c:v>
                </c:pt>
                <c:pt idx="20">
                  <c:v>Sicilia</c:v>
                </c:pt>
                <c:pt idx="21">
                  <c:v>Sardegna</c:v>
                </c:pt>
                <c:pt idx="22">
                  <c:v>Italia</c:v>
                </c:pt>
              </c:strCache>
            </c:strRef>
          </c:cat>
          <c:val>
            <c:numRef>
              <c:f>'Fig. 4 Unioni per sesso e reg'!$AG$4:$AG$26</c:f>
              <c:numCache>
                <c:formatCode>#,##0.0</c:formatCode>
                <c:ptCount val="23"/>
                <c:pt idx="0">
                  <c:v>60.655737704918032</c:v>
                </c:pt>
                <c:pt idx="1">
                  <c:v>16.666666666666664</c:v>
                </c:pt>
                <c:pt idx="2">
                  <c:v>50.877192982456144</c:v>
                </c:pt>
                <c:pt idx="3">
                  <c:v>58.4375</c:v>
                </c:pt>
                <c:pt idx="4">
                  <c:v>59.183673469387756</c:v>
                </c:pt>
                <c:pt idx="5">
                  <c:v>53.571428571428569</c:v>
                </c:pt>
                <c:pt idx="6">
                  <c:v>66.666666666666657</c:v>
                </c:pt>
                <c:pt idx="7">
                  <c:v>60.698689956331876</c:v>
                </c:pt>
                <c:pt idx="8">
                  <c:v>55.319148936170215</c:v>
                </c:pt>
                <c:pt idx="9">
                  <c:v>53.597122302158276</c:v>
                </c:pt>
                <c:pt idx="10">
                  <c:v>51.538461538461533</c:v>
                </c:pt>
                <c:pt idx="11">
                  <c:v>62.162162162162161</c:v>
                </c:pt>
                <c:pt idx="12">
                  <c:v>50</c:v>
                </c:pt>
                <c:pt idx="13">
                  <c:v>61.139896373056992</c:v>
                </c:pt>
                <c:pt idx="14">
                  <c:v>33.333333333333329</c:v>
                </c:pt>
                <c:pt idx="15">
                  <c:v>100</c:v>
                </c:pt>
                <c:pt idx="16">
                  <c:v>54.744525547445257</c:v>
                </c:pt>
                <c:pt idx="17">
                  <c:v>53.684210526315788</c:v>
                </c:pt>
                <c:pt idx="18">
                  <c:v>33.333333333333329</c:v>
                </c:pt>
                <c:pt idx="19">
                  <c:v>41.17647058823529</c:v>
                </c:pt>
                <c:pt idx="20">
                  <c:v>53.846153846153847</c:v>
                </c:pt>
                <c:pt idx="21">
                  <c:v>61.666666666666671</c:v>
                </c:pt>
                <c:pt idx="22">
                  <c:v>56.665481692143615</c:v>
                </c:pt>
              </c:numCache>
            </c:numRef>
          </c:val>
          <c:extLst>
            <c:ext xmlns:c16="http://schemas.microsoft.com/office/drawing/2014/chart" uri="{C3380CC4-5D6E-409C-BE32-E72D297353CC}">
              <c16:uniqueId val="{00000000-4B87-4E08-8079-1EC1363AA668}"/>
            </c:ext>
          </c:extLst>
        </c:ser>
        <c:ser>
          <c:idx val="1"/>
          <c:order val="1"/>
          <c:tx>
            <c:strRef>
              <c:f>'Fig. 4 Unioni per sesso e reg'!$AH$2</c:f>
              <c:strCache>
                <c:ptCount val="1"/>
                <c:pt idx="0">
                  <c:v>Unioni civili di
donne</c:v>
                </c:pt>
              </c:strCache>
            </c:strRef>
          </c:tx>
          <c:spPr>
            <a:solidFill>
              <a:schemeClr val="accent3"/>
            </a:solidFill>
          </c:spPr>
          <c:invertIfNegative val="0"/>
          <c:cat>
            <c:strRef>
              <c:f>'Fig. 4 Unioni per sesso e reg'!$A$4:$A$26</c:f>
              <c:strCache>
                <c:ptCount val="23"/>
                <c:pt idx="0">
                  <c:v>Piemonte</c:v>
                </c:pt>
                <c:pt idx="1">
                  <c:v>Valle d'Aosta-Vallée d'Aoste</c:v>
                </c:pt>
                <c:pt idx="2">
                  <c:v>Liguria</c:v>
                </c:pt>
                <c:pt idx="3">
                  <c:v>Lombardia</c:v>
                </c:pt>
                <c:pt idx="4">
                  <c:v>Trentino-Alto Adige</c:v>
                </c:pt>
                <c:pt idx="5">
                  <c:v>Bolzano</c:v>
                </c:pt>
                <c:pt idx="6">
                  <c:v>Trento</c:v>
                </c:pt>
                <c:pt idx="7">
                  <c:v>Veneto</c:v>
                </c:pt>
                <c:pt idx="8">
                  <c:v>Friuli-Venezia Giulia</c:v>
                </c:pt>
                <c:pt idx="9">
                  <c:v>Emilia-Romagna</c:v>
                </c:pt>
                <c:pt idx="10">
                  <c:v>Toscana</c:v>
                </c:pt>
                <c:pt idx="11">
                  <c:v>Umbria</c:v>
                </c:pt>
                <c:pt idx="12">
                  <c:v>Marche</c:v>
                </c:pt>
                <c:pt idx="13">
                  <c:v>Lazio</c:v>
                </c:pt>
                <c:pt idx="14">
                  <c:v>Abruzzo</c:v>
                </c:pt>
                <c:pt idx="15">
                  <c:v>Molise</c:v>
                </c:pt>
                <c:pt idx="16">
                  <c:v>Campania</c:v>
                </c:pt>
                <c:pt idx="17">
                  <c:v>Puglia</c:v>
                </c:pt>
                <c:pt idx="18">
                  <c:v>Basilicata</c:v>
                </c:pt>
                <c:pt idx="19">
                  <c:v>Calabria</c:v>
                </c:pt>
                <c:pt idx="20">
                  <c:v>Sicilia</c:v>
                </c:pt>
                <c:pt idx="21">
                  <c:v>Sardegna</c:v>
                </c:pt>
                <c:pt idx="22">
                  <c:v>Italia</c:v>
                </c:pt>
              </c:strCache>
            </c:strRef>
          </c:cat>
          <c:val>
            <c:numRef>
              <c:f>'Fig. 4 Unioni per sesso e reg'!$AH$4:$AH$26</c:f>
              <c:numCache>
                <c:formatCode>#,##0.0</c:formatCode>
                <c:ptCount val="23"/>
                <c:pt idx="0">
                  <c:v>39.344262295081968</c:v>
                </c:pt>
                <c:pt idx="1">
                  <c:v>83.333333333333343</c:v>
                </c:pt>
                <c:pt idx="2">
                  <c:v>49.122807017543856</c:v>
                </c:pt>
                <c:pt idx="3">
                  <c:v>41.5625</c:v>
                </c:pt>
                <c:pt idx="4">
                  <c:v>40.816326530612244</c:v>
                </c:pt>
                <c:pt idx="5">
                  <c:v>46.428571428571431</c:v>
                </c:pt>
                <c:pt idx="6">
                  <c:v>33.333333333333329</c:v>
                </c:pt>
                <c:pt idx="7">
                  <c:v>39.301310043668117</c:v>
                </c:pt>
                <c:pt idx="8">
                  <c:v>44.680851063829785</c:v>
                </c:pt>
                <c:pt idx="9">
                  <c:v>46.402877697841724</c:v>
                </c:pt>
                <c:pt idx="10">
                  <c:v>48.46153846153846</c:v>
                </c:pt>
                <c:pt idx="11">
                  <c:v>37.837837837837839</c:v>
                </c:pt>
                <c:pt idx="12">
                  <c:v>50</c:v>
                </c:pt>
                <c:pt idx="13">
                  <c:v>38.860103626943001</c:v>
                </c:pt>
                <c:pt idx="14">
                  <c:v>66.666666666666657</c:v>
                </c:pt>
                <c:pt idx="15">
                  <c:v>0</c:v>
                </c:pt>
                <c:pt idx="16">
                  <c:v>45.255474452554743</c:v>
                </c:pt>
                <c:pt idx="17">
                  <c:v>46.315789473684212</c:v>
                </c:pt>
                <c:pt idx="18">
                  <c:v>66.666666666666657</c:v>
                </c:pt>
                <c:pt idx="19">
                  <c:v>58.82352941176471</c:v>
                </c:pt>
                <c:pt idx="20">
                  <c:v>46.153846153846153</c:v>
                </c:pt>
                <c:pt idx="21">
                  <c:v>38.333333333333336</c:v>
                </c:pt>
                <c:pt idx="22">
                  <c:v>43.334518307856378</c:v>
                </c:pt>
              </c:numCache>
            </c:numRef>
          </c:val>
          <c:extLst>
            <c:ext xmlns:c16="http://schemas.microsoft.com/office/drawing/2014/chart" uri="{C3380CC4-5D6E-409C-BE32-E72D297353CC}">
              <c16:uniqueId val="{00000001-4B87-4E08-8079-1EC1363AA668}"/>
            </c:ext>
          </c:extLst>
        </c:ser>
        <c:dLbls>
          <c:showLegendKey val="0"/>
          <c:showVal val="0"/>
          <c:showCatName val="0"/>
          <c:showSerName val="0"/>
          <c:showPercent val="0"/>
          <c:showBubbleSize val="0"/>
        </c:dLbls>
        <c:gapWidth val="80"/>
        <c:overlap val="100"/>
        <c:axId val="120486128"/>
        <c:axId val="120475792"/>
      </c:barChart>
      <c:lineChart>
        <c:grouping val="standard"/>
        <c:varyColors val="0"/>
        <c:ser>
          <c:idx val="2"/>
          <c:order val="2"/>
          <c:tx>
            <c:strRef>
              <c:f>'Fig. 4 Unioni per sesso e reg'!$AJ$2</c:f>
              <c:strCache>
                <c:ptCount val="1"/>
                <c:pt idx="0">
                  <c:v>Unioni civili (per 100.000 residenti) (scala di dx)</c:v>
                </c:pt>
              </c:strCache>
            </c:strRef>
          </c:tx>
          <c:spPr>
            <a:ln w="19050">
              <a:noFill/>
            </a:ln>
          </c:spPr>
          <c:marker>
            <c:spPr>
              <a:solidFill>
                <a:srgbClr val="E42618"/>
              </a:solidFill>
              <a:ln>
                <a:solidFill>
                  <a:srgbClr val="E42618"/>
                </a:solidFill>
              </a:ln>
            </c:spPr>
          </c:marker>
          <c:val>
            <c:numRef>
              <c:f>'Fig. 4 Unioni per sesso e reg'!$AJ$4:$AJ$26</c:f>
              <c:numCache>
                <c:formatCode>#,##0.0</c:formatCode>
                <c:ptCount val="23"/>
                <c:pt idx="0">
                  <c:v>5.7387256971434555</c:v>
                </c:pt>
                <c:pt idx="1">
                  <c:v>4.8688059659102443</c:v>
                </c:pt>
                <c:pt idx="2">
                  <c:v>7.5620034533149099</c:v>
                </c:pt>
                <c:pt idx="3">
                  <c:v>6.4187572132664679</c:v>
                </c:pt>
                <c:pt idx="4">
                  <c:v>4.547405542730532</c:v>
                </c:pt>
                <c:pt idx="5">
                  <c:v>5.2340312976378627</c:v>
                </c:pt>
                <c:pt idx="6">
                  <c:v>3.8704183922282001</c:v>
                </c:pt>
                <c:pt idx="7">
                  <c:v>4.7196127526821927</c:v>
                </c:pt>
                <c:pt idx="8">
                  <c:v>3.930516825329923</c:v>
                </c:pt>
                <c:pt idx="9">
                  <c:v>6.2687484624090439</c:v>
                </c:pt>
                <c:pt idx="10">
                  <c:v>7.0861426936554226</c:v>
                </c:pt>
                <c:pt idx="11">
                  <c:v>4.3124070865669104</c:v>
                </c:pt>
                <c:pt idx="12">
                  <c:v>3.9003566472668751</c:v>
                </c:pt>
                <c:pt idx="13">
                  <c:v>6.7507738468025558</c:v>
                </c:pt>
                <c:pt idx="14">
                  <c:v>2.3563722392644664</c:v>
                </c:pt>
                <c:pt idx="15">
                  <c:v>1.0319828690843731</c:v>
                </c:pt>
                <c:pt idx="16">
                  <c:v>2.4463811727933487</c:v>
                </c:pt>
                <c:pt idx="17">
                  <c:v>2.4297144356623765</c:v>
                </c:pt>
                <c:pt idx="18">
                  <c:v>1.1136105481191119</c:v>
                </c:pt>
                <c:pt idx="19">
                  <c:v>0.92111066440254052</c:v>
                </c:pt>
                <c:pt idx="20">
                  <c:v>2.4335748465703859</c:v>
                </c:pt>
                <c:pt idx="21">
                  <c:v>3.8006832995125306</c:v>
                </c:pt>
                <c:pt idx="22">
                  <c:v>4.7685917930568813</c:v>
                </c:pt>
              </c:numCache>
            </c:numRef>
          </c:val>
          <c:smooth val="0"/>
          <c:extLst>
            <c:ext xmlns:c16="http://schemas.microsoft.com/office/drawing/2014/chart" uri="{C3380CC4-5D6E-409C-BE32-E72D297353CC}">
              <c16:uniqueId val="{00000002-4B87-4E08-8079-1EC1363AA668}"/>
            </c:ext>
          </c:extLst>
        </c:ser>
        <c:dLbls>
          <c:showLegendKey val="0"/>
          <c:showVal val="0"/>
          <c:showCatName val="0"/>
          <c:showSerName val="0"/>
          <c:showPercent val="0"/>
          <c:showBubbleSize val="0"/>
        </c:dLbls>
        <c:marker val="1"/>
        <c:smooth val="0"/>
        <c:axId val="120481232"/>
        <c:axId val="120488304"/>
      </c:lineChart>
      <c:catAx>
        <c:axId val="120486128"/>
        <c:scaling>
          <c:orientation val="minMax"/>
        </c:scaling>
        <c:delete val="0"/>
        <c:axPos val="b"/>
        <c:majorGridlines>
          <c:spPr>
            <a:ln w="3175">
              <a:solidFill>
                <a:schemeClr val="bg1"/>
              </a:solidFill>
            </a:ln>
          </c:spPr>
        </c:majorGridlines>
        <c:minorGridlines>
          <c:spPr>
            <a:ln>
              <a:solidFill>
                <a:schemeClr val="bg1"/>
              </a:solidFill>
            </a:ln>
          </c:spPr>
        </c:minorGridlines>
        <c:numFmt formatCode="General" sourceLinked="0"/>
        <c:majorTickMark val="out"/>
        <c:minorTickMark val="none"/>
        <c:tickLblPos val="nextTo"/>
        <c:spPr>
          <a:ln w="12700">
            <a:solidFill>
              <a:schemeClr val="bg1"/>
            </a:solidFill>
          </a:ln>
        </c:spPr>
        <c:txPr>
          <a:bodyPr rot="-5400000" vert="horz"/>
          <a:lstStyle/>
          <a:p>
            <a:pPr>
              <a:defRPr sz="800" b="1"/>
            </a:pPr>
            <a:endParaRPr lang="it-IT"/>
          </a:p>
        </c:txPr>
        <c:crossAx val="120475792"/>
        <c:crosses val="autoZero"/>
        <c:auto val="1"/>
        <c:lblAlgn val="ctr"/>
        <c:lblOffset val="100"/>
        <c:noMultiLvlLbl val="0"/>
      </c:catAx>
      <c:valAx>
        <c:axId val="120475792"/>
        <c:scaling>
          <c:orientation val="minMax"/>
          <c:max val="1"/>
          <c:min val="0"/>
        </c:scaling>
        <c:delete val="0"/>
        <c:axPos val="l"/>
        <c:majorGridlines>
          <c:spPr>
            <a:ln w="3175">
              <a:solidFill>
                <a:schemeClr val="bg1"/>
              </a:solidFill>
            </a:ln>
          </c:spPr>
        </c:majorGridlines>
        <c:numFmt formatCode="0%" sourceLinked="1"/>
        <c:majorTickMark val="out"/>
        <c:minorTickMark val="none"/>
        <c:tickLblPos val="nextTo"/>
        <c:spPr>
          <a:ln w="12700">
            <a:solidFill>
              <a:schemeClr val="bg1"/>
            </a:solidFill>
          </a:ln>
        </c:spPr>
        <c:crossAx val="120486128"/>
        <c:crosses val="autoZero"/>
        <c:crossBetween val="between"/>
        <c:majorUnit val="0.2"/>
      </c:valAx>
      <c:valAx>
        <c:axId val="120488304"/>
        <c:scaling>
          <c:orientation val="minMax"/>
          <c:max val="10"/>
          <c:min val="0"/>
        </c:scaling>
        <c:delete val="0"/>
        <c:axPos val="r"/>
        <c:majorGridlines>
          <c:spPr>
            <a:ln>
              <a:solidFill>
                <a:schemeClr val="bg1"/>
              </a:solidFill>
            </a:ln>
          </c:spPr>
        </c:majorGridlines>
        <c:numFmt formatCode="#,##0" sourceLinked="0"/>
        <c:majorTickMark val="out"/>
        <c:minorTickMark val="none"/>
        <c:tickLblPos val="nextTo"/>
        <c:spPr>
          <a:ln>
            <a:solidFill>
              <a:schemeClr val="bg1"/>
            </a:solidFill>
          </a:ln>
        </c:spPr>
        <c:crossAx val="120481232"/>
        <c:crosses val="max"/>
        <c:crossBetween val="between"/>
        <c:majorUnit val="2"/>
      </c:valAx>
      <c:catAx>
        <c:axId val="120481232"/>
        <c:scaling>
          <c:orientation val="minMax"/>
        </c:scaling>
        <c:delete val="1"/>
        <c:axPos val="b"/>
        <c:numFmt formatCode="General" sourceLinked="1"/>
        <c:majorTickMark val="out"/>
        <c:minorTickMark val="none"/>
        <c:tickLblPos val="nextTo"/>
        <c:crossAx val="120488304"/>
        <c:crosses val="autoZero"/>
        <c:auto val="1"/>
        <c:lblAlgn val="ctr"/>
        <c:lblOffset val="100"/>
        <c:noMultiLvlLbl val="0"/>
      </c:catAx>
      <c:spPr>
        <a:noFill/>
      </c:spPr>
    </c:plotArea>
    <c:legend>
      <c:legendPos val="t"/>
      <c:layout>
        <c:manualLayout>
          <c:xMode val="edge"/>
          <c:yMode val="edge"/>
          <c:x val="0"/>
          <c:y val="1.662049861495845E-2"/>
          <c:w val="1"/>
          <c:h val="0.15071666666666669"/>
        </c:manualLayout>
      </c:layout>
      <c:overlay val="0"/>
      <c:txPr>
        <a:bodyPr/>
        <a:lstStyle/>
        <a:p>
          <a:pPr>
            <a:defRPr sz="800"/>
          </a:pPr>
          <a:endParaRPr lang="it-IT"/>
        </a:p>
      </c:txPr>
    </c:legend>
    <c:plotVisOnly val="1"/>
    <c:dispBlanksAs val="gap"/>
    <c:showDLblsOverMax val="0"/>
  </c:chart>
  <c:spPr>
    <a:noFill/>
    <a:ln>
      <a:noFill/>
    </a:ln>
  </c:spPr>
  <c:txPr>
    <a:bodyPr/>
    <a:lstStyle/>
    <a:p>
      <a:pPr>
        <a:defRPr sz="900">
          <a:latin typeface="Arial Narrow" panose="020B0606020202030204" pitchFamily="34" charset="0"/>
        </a:defRPr>
      </a:pPr>
      <a:endParaRPr lang="it-I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830734892239022E-2"/>
          <c:y val="0.14805808072274226"/>
          <c:w val="0.90668967934180233"/>
          <c:h val="0.67583388525032506"/>
        </c:manualLayout>
      </c:layout>
      <c:barChart>
        <c:barDir val="col"/>
        <c:grouping val="stacked"/>
        <c:varyColors val="0"/>
        <c:ser>
          <c:idx val="0"/>
          <c:order val="0"/>
          <c:tx>
            <c:strRef>
              <c:f>prova!$C$1</c:f>
              <c:strCache>
                <c:ptCount val="1"/>
                <c:pt idx="0">
                  <c:v>Matrimoni religiosi</c:v>
                </c:pt>
              </c:strCache>
            </c:strRef>
          </c:tx>
          <c:spPr>
            <a:solidFill>
              <a:srgbClr val="1F497D"/>
            </a:solidFill>
            <a:ln>
              <a:noFill/>
            </a:ln>
            <a:effectLst/>
          </c:spPr>
          <c:invertIfNegative val="0"/>
          <c:cat>
            <c:numRef>
              <c:f>prova!$B$2:$B$366</c:f>
              <c:numCache>
                <c:formatCode>[$-410]d\-mmm;@</c:formatCode>
                <c:ptCount val="365"/>
                <c:pt idx="0">
                  <c:v>44927</c:v>
                </c:pt>
                <c:pt idx="1">
                  <c:v>44928</c:v>
                </c:pt>
                <c:pt idx="2">
                  <c:v>44929</c:v>
                </c:pt>
                <c:pt idx="3">
                  <c:v>44930</c:v>
                </c:pt>
                <c:pt idx="4">
                  <c:v>44931</c:v>
                </c:pt>
                <c:pt idx="5">
                  <c:v>44932</c:v>
                </c:pt>
                <c:pt idx="6">
                  <c:v>44933</c:v>
                </c:pt>
                <c:pt idx="7">
                  <c:v>44934</c:v>
                </c:pt>
                <c:pt idx="8">
                  <c:v>44935</c:v>
                </c:pt>
                <c:pt idx="9">
                  <c:v>44936</c:v>
                </c:pt>
                <c:pt idx="10">
                  <c:v>44937</c:v>
                </c:pt>
                <c:pt idx="11">
                  <c:v>44938</c:v>
                </c:pt>
                <c:pt idx="12">
                  <c:v>44939</c:v>
                </c:pt>
                <c:pt idx="13">
                  <c:v>44940</c:v>
                </c:pt>
                <c:pt idx="14">
                  <c:v>44941</c:v>
                </c:pt>
                <c:pt idx="15">
                  <c:v>44942</c:v>
                </c:pt>
                <c:pt idx="16">
                  <c:v>44943</c:v>
                </c:pt>
                <c:pt idx="17">
                  <c:v>44944</c:v>
                </c:pt>
                <c:pt idx="18">
                  <c:v>44945</c:v>
                </c:pt>
                <c:pt idx="19">
                  <c:v>44946</c:v>
                </c:pt>
                <c:pt idx="20">
                  <c:v>44947</c:v>
                </c:pt>
                <c:pt idx="21">
                  <c:v>44948</c:v>
                </c:pt>
                <c:pt idx="22">
                  <c:v>44949</c:v>
                </c:pt>
                <c:pt idx="23">
                  <c:v>44950</c:v>
                </c:pt>
                <c:pt idx="24">
                  <c:v>44951</c:v>
                </c:pt>
                <c:pt idx="25">
                  <c:v>44952</c:v>
                </c:pt>
                <c:pt idx="26">
                  <c:v>44953</c:v>
                </c:pt>
                <c:pt idx="27">
                  <c:v>44954</c:v>
                </c:pt>
                <c:pt idx="28">
                  <c:v>44955</c:v>
                </c:pt>
                <c:pt idx="29">
                  <c:v>44956</c:v>
                </c:pt>
                <c:pt idx="30">
                  <c:v>44957</c:v>
                </c:pt>
                <c:pt idx="31">
                  <c:v>44958</c:v>
                </c:pt>
                <c:pt idx="32">
                  <c:v>44959</c:v>
                </c:pt>
                <c:pt idx="33">
                  <c:v>44960</c:v>
                </c:pt>
                <c:pt idx="34">
                  <c:v>44961</c:v>
                </c:pt>
                <c:pt idx="35">
                  <c:v>44962</c:v>
                </c:pt>
                <c:pt idx="36">
                  <c:v>44963</c:v>
                </c:pt>
                <c:pt idx="37">
                  <c:v>44964</c:v>
                </c:pt>
                <c:pt idx="38">
                  <c:v>44965</c:v>
                </c:pt>
                <c:pt idx="39">
                  <c:v>44966</c:v>
                </c:pt>
                <c:pt idx="40">
                  <c:v>44967</c:v>
                </c:pt>
                <c:pt idx="41">
                  <c:v>44968</c:v>
                </c:pt>
                <c:pt idx="42">
                  <c:v>44969</c:v>
                </c:pt>
                <c:pt idx="43">
                  <c:v>44970</c:v>
                </c:pt>
                <c:pt idx="44">
                  <c:v>44971</c:v>
                </c:pt>
                <c:pt idx="45">
                  <c:v>44972</c:v>
                </c:pt>
                <c:pt idx="46">
                  <c:v>44973</c:v>
                </c:pt>
                <c:pt idx="47">
                  <c:v>44974</c:v>
                </c:pt>
                <c:pt idx="48">
                  <c:v>44975</c:v>
                </c:pt>
                <c:pt idx="49">
                  <c:v>44976</c:v>
                </c:pt>
                <c:pt idx="50">
                  <c:v>44977</c:v>
                </c:pt>
                <c:pt idx="51">
                  <c:v>44978</c:v>
                </c:pt>
                <c:pt idx="52">
                  <c:v>44979</c:v>
                </c:pt>
                <c:pt idx="53">
                  <c:v>44980</c:v>
                </c:pt>
                <c:pt idx="54">
                  <c:v>44981</c:v>
                </c:pt>
                <c:pt idx="55">
                  <c:v>44982</c:v>
                </c:pt>
                <c:pt idx="56">
                  <c:v>44983</c:v>
                </c:pt>
                <c:pt idx="57">
                  <c:v>44984</c:v>
                </c:pt>
                <c:pt idx="58">
                  <c:v>44985</c:v>
                </c:pt>
                <c:pt idx="59">
                  <c:v>44986</c:v>
                </c:pt>
                <c:pt idx="60">
                  <c:v>44987</c:v>
                </c:pt>
                <c:pt idx="61">
                  <c:v>44988</c:v>
                </c:pt>
                <c:pt idx="62">
                  <c:v>44989</c:v>
                </c:pt>
                <c:pt idx="63">
                  <c:v>44990</c:v>
                </c:pt>
                <c:pt idx="64">
                  <c:v>44991</c:v>
                </c:pt>
                <c:pt idx="65">
                  <c:v>44992</c:v>
                </c:pt>
                <c:pt idx="66">
                  <c:v>44993</c:v>
                </c:pt>
                <c:pt idx="67">
                  <c:v>44994</c:v>
                </c:pt>
                <c:pt idx="68">
                  <c:v>44995</c:v>
                </c:pt>
                <c:pt idx="69">
                  <c:v>44996</c:v>
                </c:pt>
                <c:pt idx="70">
                  <c:v>44997</c:v>
                </c:pt>
                <c:pt idx="71">
                  <c:v>44998</c:v>
                </c:pt>
                <c:pt idx="72">
                  <c:v>44999</c:v>
                </c:pt>
                <c:pt idx="73">
                  <c:v>45000</c:v>
                </c:pt>
                <c:pt idx="74">
                  <c:v>45001</c:v>
                </c:pt>
                <c:pt idx="75">
                  <c:v>45002</c:v>
                </c:pt>
                <c:pt idx="76">
                  <c:v>45003</c:v>
                </c:pt>
                <c:pt idx="77">
                  <c:v>45004</c:v>
                </c:pt>
                <c:pt idx="78">
                  <c:v>45005</c:v>
                </c:pt>
                <c:pt idx="79">
                  <c:v>45006</c:v>
                </c:pt>
                <c:pt idx="80">
                  <c:v>45007</c:v>
                </c:pt>
                <c:pt idx="81">
                  <c:v>45008</c:v>
                </c:pt>
                <c:pt idx="82">
                  <c:v>45009</c:v>
                </c:pt>
                <c:pt idx="83">
                  <c:v>45010</c:v>
                </c:pt>
                <c:pt idx="84">
                  <c:v>45011</c:v>
                </c:pt>
                <c:pt idx="85">
                  <c:v>45012</c:v>
                </c:pt>
                <c:pt idx="86">
                  <c:v>45013</c:v>
                </c:pt>
                <c:pt idx="87">
                  <c:v>45014</c:v>
                </c:pt>
                <c:pt idx="88">
                  <c:v>45015</c:v>
                </c:pt>
                <c:pt idx="89">
                  <c:v>45016</c:v>
                </c:pt>
                <c:pt idx="90">
                  <c:v>45017</c:v>
                </c:pt>
                <c:pt idx="91">
                  <c:v>45018</c:v>
                </c:pt>
                <c:pt idx="92">
                  <c:v>45019</c:v>
                </c:pt>
                <c:pt idx="93">
                  <c:v>45020</c:v>
                </c:pt>
                <c:pt idx="94">
                  <c:v>45021</c:v>
                </c:pt>
                <c:pt idx="95">
                  <c:v>45022</c:v>
                </c:pt>
                <c:pt idx="96">
                  <c:v>45023</c:v>
                </c:pt>
                <c:pt idx="97">
                  <c:v>45024</c:v>
                </c:pt>
                <c:pt idx="98">
                  <c:v>45025</c:v>
                </c:pt>
                <c:pt idx="99">
                  <c:v>45026</c:v>
                </c:pt>
                <c:pt idx="100">
                  <c:v>45027</c:v>
                </c:pt>
                <c:pt idx="101">
                  <c:v>45028</c:v>
                </c:pt>
                <c:pt idx="102">
                  <c:v>45029</c:v>
                </c:pt>
                <c:pt idx="103">
                  <c:v>45030</c:v>
                </c:pt>
                <c:pt idx="104">
                  <c:v>45031</c:v>
                </c:pt>
                <c:pt idx="105">
                  <c:v>45032</c:v>
                </c:pt>
                <c:pt idx="106">
                  <c:v>45033</c:v>
                </c:pt>
                <c:pt idx="107">
                  <c:v>45034</c:v>
                </c:pt>
                <c:pt idx="108">
                  <c:v>45035</c:v>
                </c:pt>
                <c:pt idx="109">
                  <c:v>45036</c:v>
                </c:pt>
                <c:pt idx="110">
                  <c:v>45037</c:v>
                </c:pt>
                <c:pt idx="111">
                  <c:v>45038</c:v>
                </c:pt>
                <c:pt idx="112">
                  <c:v>45039</c:v>
                </c:pt>
                <c:pt idx="113">
                  <c:v>45040</c:v>
                </c:pt>
                <c:pt idx="114">
                  <c:v>45041</c:v>
                </c:pt>
                <c:pt idx="115">
                  <c:v>45042</c:v>
                </c:pt>
                <c:pt idx="116">
                  <c:v>45043</c:v>
                </c:pt>
                <c:pt idx="117">
                  <c:v>45044</c:v>
                </c:pt>
                <c:pt idx="118">
                  <c:v>45045</c:v>
                </c:pt>
                <c:pt idx="119">
                  <c:v>45046</c:v>
                </c:pt>
                <c:pt idx="120">
                  <c:v>45047</c:v>
                </c:pt>
                <c:pt idx="121">
                  <c:v>45048</c:v>
                </c:pt>
                <c:pt idx="122">
                  <c:v>45049</c:v>
                </c:pt>
                <c:pt idx="123">
                  <c:v>45050</c:v>
                </c:pt>
                <c:pt idx="124">
                  <c:v>45051</c:v>
                </c:pt>
                <c:pt idx="125">
                  <c:v>45052</c:v>
                </c:pt>
                <c:pt idx="126">
                  <c:v>45053</c:v>
                </c:pt>
                <c:pt idx="127">
                  <c:v>45054</c:v>
                </c:pt>
                <c:pt idx="128">
                  <c:v>45055</c:v>
                </c:pt>
                <c:pt idx="129">
                  <c:v>45056</c:v>
                </c:pt>
                <c:pt idx="130">
                  <c:v>45057</c:v>
                </c:pt>
                <c:pt idx="131">
                  <c:v>45058</c:v>
                </c:pt>
                <c:pt idx="132">
                  <c:v>45059</c:v>
                </c:pt>
                <c:pt idx="133">
                  <c:v>45060</c:v>
                </c:pt>
                <c:pt idx="134">
                  <c:v>45061</c:v>
                </c:pt>
                <c:pt idx="135">
                  <c:v>45062</c:v>
                </c:pt>
                <c:pt idx="136">
                  <c:v>45063</c:v>
                </c:pt>
                <c:pt idx="137">
                  <c:v>45064</c:v>
                </c:pt>
                <c:pt idx="138">
                  <c:v>45065</c:v>
                </c:pt>
                <c:pt idx="139">
                  <c:v>45066</c:v>
                </c:pt>
                <c:pt idx="140">
                  <c:v>45067</c:v>
                </c:pt>
                <c:pt idx="141">
                  <c:v>45068</c:v>
                </c:pt>
                <c:pt idx="142">
                  <c:v>45069</c:v>
                </c:pt>
                <c:pt idx="143">
                  <c:v>45070</c:v>
                </c:pt>
                <c:pt idx="144">
                  <c:v>45071</c:v>
                </c:pt>
                <c:pt idx="145">
                  <c:v>45072</c:v>
                </c:pt>
                <c:pt idx="146">
                  <c:v>45073</c:v>
                </c:pt>
                <c:pt idx="147">
                  <c:v>45074</c:v>
                </c:pt>
                <c:pt idx="148">
                  <c:v>45075</c:v>
                </c:pt>
                <c:pt idx="149">
                  <c:v>45076</c:v>
                </c:pt>
                <c:pt idx="150">
                  <c:v>45077</c:v>
                </c:pt>
                <c:pt idx="151">
                  <c:v>45078</c:v>
                </c:pt>
                <c:pt idx="152">
                  <c:v>45079</c:v>
                </c:pt>
                <c:pt idx="153">
                  <c:v>45080</c:v>
                </c:pt>
                <c:pt idx="154">
                  <c:v>45081</c:v>
                </c:pt>
                <c:pt idx="155">
                  <c:v>45082</c:v>
                </c:pt>
                <c:pt idx="156">
                  <c:v>45083</c:v>
                </c:pt>
                <c:pt idx="157">
                  <c:v>45084</c:v>
                </c:pt>
                <c:pt idx="158">
                  <c:v>45085</c:v>
                </c:pt>
                <c:pt idx="159">
                  <c:v>45086</c:v>
                </c:pt>
                <c:pt idx="160">
                  <c:v>45087</c:v>
                </c:pt>
                <c:pt idx="161">
                  <c:v>45088</c:v>
                </c:pt>
                <c:pt idx="162">
                  <c:v>45089</c:v>
                </c:pt>
                <c:pt idx="163">
                  <c:v>45090</c:v>
                </c:pt>
                <c:pt idx="164">
                  <c:v>45091</c:v>
                </c:pt>
                <c:pt idx="165">
                  <c:v>45092</c:v>
                </c:pt>
                <c:pt idx="166">
                  <c:v>45093</c:v>
                </c:pt>
                <c:pt idx="167">
                  <c:v>45094</c:v>
                </c:pt>
                <c:pt idx="168">
                  <c:v>45095</c:v>
                </c:pt>
                <c:pt idx="169">
                  <c:v>45096</c:v>
                </c:pt>
                <c:pt idx="170">
                  <c:v>45097</c:v>
                </c:pt>
                <c:pt idx="171">
                  <c:v>45098</c:v>
                </c:pt>
                <c:pt idx="172">
                  <c:v>45099</c:v>
                </c:pt>
                <c:pt idx="173">
                  <c:v>45100</c:v>
                </c:pt>
                <c:pt idx="174">
                  <c:v>45101</c:v>
                </c:pt>
                <c:pt idx="175">
                  <c:v>45102</c:v>
                </c:pt>
                <c:pt idx="176">
                  <c:v>45103</c:v>
                </c:pt>
                <c:pt idx="177">
                  <c:v>45104</c:v>
                </c:pt>
                <c:pt idx="178">
                  <c:v>45105</c:v>
                </c:pt>
                <c:pt idx="179">
                  <c:v>45106</c:v>
                </c:pt>
                <c:pt idx="180">
                  <c:v>45107</c:v>
                </c:pt>
                <c:pt idx="181">
                  <c:v>45108</c:v>
                </c:pt>
                <c:pt idx="182">
                  <c:v>45109</c:v>
                </c:pt>
                <c:pt idx="183">
                  <c:v>45110</c:v>
                </c:pt>
                <c:pt idx="184">
                  <c:v>45111</c:v>
                </c:pt>
                <c:pt idx="185">
                  <c:v>45112</c:v>
                </c:pt>
                <c:pt idx="186">
                  <c:v>45113</c:v>
                </c:pt>
                <c:pt idx="187">
                  <c:v>45114</c:v>
                </c:pt>
                <c:pt idx="188">
                  <c:v>45115</c:v>
                </c:pt>
                <c:pt idx="189">
                  <c:v>45116</c:v>
                </c:pt>
                <c:pt idx="190">
                  <c:v>45117</c:v>
                </c:pt>
                <c:pt idx="191">
                  <c:v>45118</c:v>
                </c:pt>
                <c:pt idx="192">
                  <c:v>45119</c:v>
                </c:pt>
                <c:pt idx="193">
                  <c:v>45120</c:v>
                </c:pt>
                <c:pt idx="194">
                  <c:v>45121</c:v>
                </c:pt>
                <c:pt idx="195">
                  <c:v>45122</c:v>
                </c:pt>
                <c:pt idx="196">
                  <c:v>45123</c:v>
                </c:pt>
                <c:pt idx="197">
                  <c:v>45124</c:v>
                </c:pt>
                <c:pt idx="198">
                  <c:v>45125</c:v>
                </c:pt>
                <c:pt idx="199">
                  <c:v>45126</c:v>
                </c:pt>
                <c:pt idx="200">
                  <c:v>45127</c:v>
                </c:pt>
                <c:pt idx="201">
                  <c:v>45128</c:v>
                </c:pt>
                <c:pt idx="202">
                  <c:v>45129</c:v>
                </c:pt>
                <c:pt idx="203">
                  <c:v>45130</c:v>
                </c:pt>
                <c:pt idx="204">
                  <c:v>45131</c:v>
                </c:pt>
                <c:pt idx="205">
                  <c:v>45132</c:v>
                </c:pt>
                <c:pt idx="206">
                  <c:v>45133</c:v>
                </c:pt>
                <c:pt idx="207">
                  <c:v>45134</c:v>
                </c:pt>
                <c:pt idx="208">
                  <c:v>45135</c:v>
                </c:pt>
                <c:pt idx="209">
                  <c:v>45136</c:v>
                </c:pt>
                <c:pt idx="210">
                  <c:v>45137</c:v>
                </c:pt>
                <c:pt idx="211">
                  <c:v>45138</c:v>
                </c:pt>
                <c:pt idx="212">
                  <c:v>45139</c:v>
                </c:pt>
                <c:pt idx="213">
                  <c:v>45140</c:v>
                </c:pt>
                <c:pt idx="214">
                  <c:v>45141</c:v>
                </c:pt>
                <c:pt idx="215">
                  <c:v>45142</c:v>
                </c:pt>
                <c:pt idx="216">
                  <c:v>45143</c:v>
                </c:pt>
                <c:pt idx="217">
                  <c:v>45144</c:v>
                </c:pt>
                <c:pt idx="218">
                  <c:v>45145</c:v>
                </c:pt>
                <c:pt idx="219">
                  <c:v>45146</c:v>
                </c:pt>
                <c:pt idx="220">
                  <c:v>45147</c:v>
                </c:pt>
                <c:pt idx="221">
                  <c:v>45148</c:v>
                </c:pt>
                <c:pt idx="222">
                  <c:v>45149</c:v>
                </c:pt>
                <c:pt idx="223">
                  <c:v>45150</c:v>
                </c:pt>
                <c:pt idx="224">
                  <c:v>45151</c:v>
                </c:pt>
                <c:pt idx="225">
                  <c:v>45152</c:v>
                </c:pt>
                <c:pt idx="226">
                  <c:v>45153</c:v>
                </c:pt>
                <c:pt idx="227">
                  <c:v>45154</c:v>
                </c:pt>
                <c:pt idx="228">
                  <c:v>45155</c:v>
                </c:pt>
                <c:pt idx="229">
                  <c:v>45156</c:v>
                </c:pt>
                <c:pt idx="230">
                  <c:v>45157</c:v>
                </c:pt>
                <c:pt idx="231">
                  <c:v>45158</c:v>
                </c:pt>
                <c:pt idx="232">
                  <c:v>45159</c:v>
                </c:pt>
                <c:pt idx="233">
                  <c:v>45160</c:v>
                </c:pt>
                <c:pt idx="234">
                  <c:v>45161</c:v>
                </c:pt>
                <c:pt idx="235">
                  <c:v>45162</c:v>
                </c:pt>
                <c:pt idx="236">
                  <c:v>45163</c:v>
                </c:pt>
                <c:pt idx="237">
                  <c:v>45164</c:v>
                </c:pt>
                <c:pt idx="238">
                  <c:v>45165</c:v>
                </c:pt>
                <c:pt idx="239">
                  <c:v>45166</c:v>
                </c:pt>
                <c:pt idx="240">
                  <c:v>45167</c:v>
                </c:pt>
                <c:pt idx="241">
                  <c:v>45168</c:v>
                </c:pt>
                <c:pt idx="242">
                  <c:v>45169</c:v>
                </c:pt>
                <c:pt idx="243">
                  <c:v>45170</c:v>
                </c:pt>
                <c:pt idx="244">
                  <c:v>45171</c:v>
                </c:pt>
                <c:pt idx="245">
                  <c:v>45172</c:v>
                </c:pt>
                <c:pt idx="246">
                  <c:v>45173</c:v>
                </c:pt>
                <c:pt idx="247">
                  <c:v>45174</c:v>
                </c:pt>
                <c:pt idx="248">
                  <c:v>45175</c:v>
                </c:pt>
                <c:pt idx="249">
                  <c:v>45176</c:v>
                </c:pt>
                <c:pt idx="250">
                  <c:v>45177</c:v>
                </c:pt>
                <c:pt idx="251">
                  <c:v>45178</c:v>
                </c:pt>
                <c:pt idx="252">
                  <c:v>45179</c:v>
                </c:pt>
                <c:pt idx="253">
                  <c:v>45180</c:v>
                </c:pt>
                <c:pt idx="254">
                  <c:v>45181</c:v>
                </c:pt>
                <c:pt idx="255">
                  <c:v>45182</c:v>
                </c:pt>
                <c:pt idx="256">
                  <c:v>45183</c:v>
                </c:pt>
                <c:pt idx="257">
                  <c:v>45184</c:v>
                </c:pt>
                <c:pt idx="258">
                  <c:v>45185</c:v>
                </c:pt>
                <c:pt idx="259">
                  <c:v>45186</c:v>
                </c:pt>
                <c:pt idx="260">
                  <c:v>45187</c:v>
                </c:pt>
                <c:pt idx="261">
                  <c:v>45188</c:v>
                </c:pt>
                <c:pt idx="262">
                  <c:v>45189</c:v>
                </c:pt>
                <c:pt idx="263">
                  <c:v>45190</c:v>
                </c:pt>
                <c:pt idx="264">
                  <c:v>45191</c:v>
                </c:pt>
                <c:pt idx="265">
                  <c:v>45192</c:v>
                </c:pt>
                <c:pt idx="266">
                  <c:v>45193</c:v>
                </c:pt>
                <c:pt idx="267">
                  <c:v>45194</c:v>
                </c:pt>
                <c:pt idx="268">
                  <c:v>45195</c:v>
                </c:pt>
                <c:pt idx="269">
                  <c:v>45196</c:v>
                </c:pt>
                <c:pt idx="270">
                  <c:v>45197</c:v>
                </c:pt>
                <c:pt idx="271">
                  <c:v>45198</c:v>
                </c:pt>
                <c:pt idx="272">
                  <c:v>45199</c:v>
                </c:pt>
                <c:pt idx="273">
                  <c:v>45200</c:v>
                </c:pt>
                <c:pt idx="274">
                  <c:v>45201</c:v>
                </c:pt>
                <c:pt idx="275">
                  <c:v>45202</c:v>
                </c:pt>
                <c:pt idx="276">
                  <c:v>45203</c:v>
                </c:pt>
                <c:pt idx="277">
                  <c:v>45204</c:v>
                </c:pt>
                <c:pt idx="278">
                  <c:v>45205</c:v>
                </c:pt>
                <c:pt idx="279">
                  <c:v>45206</c:v>
                </c:pt>
                <c:pt idx="280">
                  <c:v>45207</c:v>
                </c:pt>
                <c:pt idx="281">
                  <c:v>45208</c:v>
                </c:pt>
                <c:pt idx="282">
                  <c:v>45209</c:v>
                </c:pt>
                <c:pt idx="283">
                  <c:v>45210</c:v>
                </c:pt>
                <c:pt idx="284">
                  <c:v>45211</c:v>
                </c:pt>
                <c:pt idx="285">
                  <c:v>45212</c:v>
                </c:pt>
                <c:pt idx="286">
                  <c:v>45213</c:v>
                </c:pt>
                <c:pt idx="287">
                  <c:v>45214</c:v>
                </c:pt>
                <c:pt idx="288">
                  <c:v>45215</c:v>
                </c:pt>
                <c:pt idx="289">
                  <c:v>45216</c:v>
                </c:pt>
                <c:pt idx="290">
                  <c:v>45217</c:v>
                </c:pt>
                <c:pt idx="291">
                  <c:v>45218</c:v>
                </c:pt>
                <c:pt idx="292">
                  <c:v>45219</c:v>
                </c:pt>
                <c:pt idx="293">
                  <c:v>45220</c:v>
                </c:pt>
                <c:pt idx="294">
                  <c:v>45221</c:v>
                </c:pt>
                <c:pt idx="295">
                  <c:v>45222</c:v>
                </c:pt>
                <c:pt idx="296">
                  <c:v>45223</c:v>
                </c:pt>
                <c:pt idx="297">
                  <c:v>45224</c:v>
                </c:pt>
                <c:pt idx="298">
                  <c:v>45225</c:v>
                </c:pt>
                <c:pt idx="299">
                  <c:v>45226</c:v>
                </c:pt>
                <c:pt idx="300">
                  <c:v>45227</c:v>
                </c:pt>
                <c:pt idx="301">
                  <c:v>45228</c:v>
                </c:pt>
                <c:pt idx="302">
                  <c:v>45229</c:v>
                </c:pt>
                <c:pt idx="303">
                  <c:v>45230</c:v>
                </c:pt>
                <c:pt idx="304">
                  <c:v>45231</c:v>
                </c:pt>
                <c:pt idx="305">
                  <c:v>45232</c:v>
                </c:pt>
                <c:pt idx="306">
                  <c:v>45233</c:v>
                </c:pt>
                <c:pt idx="307">
                  <c:v>45234</c:v>
                </c:pt>
                <c:pt idx="308">
                  <c:v>45235</c:v>
                </c:pt>
                <c:pt idx="309">
                  <c:v>45236</c:v>
                </c:pt>
                <c:pt idx="310">
                  <c:v>45237</c:v>
                </c:pt>
                <c:pt idx="311">
                  <c:v>45238</c:v>
                </c:pt>
                <c:pt idx="312">
                  <c:v>45239</c:v>
                </c:pt>
                <c:pt idx="313">
                  <c:v>45240</c:v>
                </c:pt>
                <c:pt idx="314">
                  <c:v>45241</c:v>
                </c:pt>
                <c:pt idx="315">
                  <c:v>45242</c:v>
                </c:pt>
                <c:pt idx="316">
                  <c:v>45243</c:v>
                </c:pt>
                <c:pt idx="317">
                  <c:v>45244</c:v>
                </c:pt>
                <c:pt idx="318">
                  <c:v>45245</c:v>
                </c:pt>
                <c:pt idx="319">
                  <c:v>45246</c:v>
                </c:pt>
                <c:pt idx="320">
                  <c:v>45247</c:v>
                </c:pt>
                <c:pt idx="321">
                  <c:v>45248</c:v>
                </c:pt>
                <c:pt idx="322">
                  <c:v>45249</c:v>
                </c:pt>
                <c:pt idx="323">
                  <c:v>45250</c:v>
                </c:pt>
                <c:pt idx="324">
                  <c:v>45251</c:v>
                </c:pt>
                <c:pt idx="325">
                  <c:v>45252</c:v>
                </c:pt>
                <c:pt idx="326">
                  <c:v>45253</c:v>
                </c:pt>
                <c:pt idx="327">
                  <c:v>45254</c:v>
                </c:pt>
                <c:pt idx="328">
                  <c:v>45255</c:v>
                </c:pt>
                <c:pt idx="329">
                  <c:v>45256</c:v>
                </c:pt>
                <c:pt idx="330">
                  <c:v>45257</c:v>
                </c:pt>
                <c:pt idx="331">
                  <c:v>45258</c:v>
                </c:pt>
                <c:pt idx="332">
                  <c:v>45259</c:v>
                </c:pt>
                <c:pt idx="333">
                  <c:v>45260</c:v>
                </c:pt>
                <c:pt idx="334">
                  <c:v>45261</c:v>
                </c:pt>
                <c:pt idx="335">
                  <c:v>45262</c:v>
                </c:pt>
                <c:pt idx="336">
                  <c:v>45263</c:v>
                </c:pt>
                <c:pt idx="337">
                  <c:v>45264</c:v>
                </c:pt>
                <c:pt idx="338">
                  <c:v>45265</c:v>
                </c:pt>
                <c:pt idx="339">
                  <c:v>45266</c:v>
                </c:pt>
                <c:pt idx="340">
                  <c:v>45267</c:v>
                </c:pt>
                <c:pt idx="341">
                  <c:v>45268</c:v>
                </c:pt>
                <c:pt idx="342">
                  <c:v>45269</c:v>
                </c:pt>
                <c:pt idx="343">
                  <c:v>45270</c:v>
                </c:pt>
                <c:pt idx="344">
                  <c:v>45271</c:v>
                </c:pt>
                <c:pt idx="345">
                  <c:v>45272</c:v>
                </c:pt>
                <c:pt idx="346">
                  <c:v>45273</c:v>
                </c:pt>
                <c:pt idx="347">
                  <c:v>45274</c:v>
                </c:pt>
                <c:pt idx="348">
                  <c:v>45275</c:v>
                </c:pt>
                <c:pt idx="349">
                  <c:v>45276</c:v>
                </c:pt>
                <c:pt idx="350">
                  <c:v>45277</c:v>
                </c:pt>
                <c:pt idx="351">
                  <c:v>45278</c:v>
                </c:pt>
                <c:pt idx="352">
                  <c:v>45279</c:v>
                </c:pt>
                <c:pt idx="353">
                  <c:v>45280</c:v>
                </c:pt>
                <c:pt idx="354">
                  <c:v>45281</c:v>
                </c:pt>
                <c:pt idx="355">
                  <c:v>45282</c:v>
                </c:pt>
                <c:pt idx="356">
                  <c:v>45283</c:v>
                </c:pt>
                <c:pt idx="357">
                  <c:v>45284</c:v>
                </c:pt>
                <c:pt idx="358">
                  <c:v>45285</c:v>
                </c:pt>
                <c:pt idx="359">
                  <c:v>45286</c:v>
                </c:pt>
                <c:pt idx="360">
                  <c:v>45287</c:v>
                </c:pt>
                <c:pt idx="361">
                  <c:v>45288</c:v>
                </c:pt>
                <c:pt idx="362">
                  <c:v>45289</c:v>
                </c:pt>
                <c:pt idx="363">
                  <c:v>45290</c:v>
                </c:pt>
                <c:pt idx="364">
                  <c:v>45291</c:v>
                </c:pt>
              </c:numCache>
            </c:numRef>
          </c:cat>
          <c:val>
            <c:numRef>
              <c:f>prova!$C$2:$C$366</c:f>
              <c:numCache>
                <c:formatCode>General</c:formatCode>
                <c:ptCount val="365"/>
                <c:pt idx="0">
                  <c:v>3</c:v>
                </c:pt>
                <c:pt idx="1">
                  <c:v>11</c:v>
                </c:pt>
                <c:pt idx="2">
                  <c:v>14</c:v>
                </c:pt>
                <c:pt idx="3">
                  <c:v>8</c:v>
                </c:pt>
                <c:pt idx="4">
                  <c:v>26</c:v>
                </c:pt>
                <c:pt idx="5">
                  <c:v>3</c:v>
                </c:pt>
                <c:pt idx="6">
                  <c:v>9</c:v>
                </c:pt>
                <c:pt idx="7">
                  <c:v>50</c:v>
                </c:pt>
                <c:pt idx="8">
                  <c:v>2</c:v>
                </c:pt>
                <c:pt idx="9">
                  <c:v>5</c:v>
                </c:pt>
                <c:pt idx="11">
                  <c:v>1</c:v>
                </c:pt>
                <c:pt idx="12">
                  <c:v>3</c:v>
                </c:pt>
                <c:pt idx="13">
                  <c:v>4</c:v>
                </c:pt>
                <c:pt idx="14">
                  <c:v>32</c:v>
                </c:pt>
                <c:pt idx="15">
                  <c:v>3</c:v>
                </c:pt>
                <c:pt idx="16">
                  <c:v>3</c:v>
                </c:pt>
                <c:pt idx="19">
                  <c:v>2</c:v>
                </c:pt>
                <c:pt idx="20">
                  <c:v>2</c:v>
                </c:pt>
                <c:pt idx="21">
                  <c:v>31</c:v>
                </c:pt>
                <c:pt idx="22">
                  <c:v>4</c:v>
                </c:pt>
                <c:pt idx="24">
                  <c:v>1</c:v>
                </c:pt>
                <c:pt idx="25">
                  <c:v>1</c:v>
                </c:pt>
                <c:pt idx="26">
                  <c:v>4</c:v>
                </c:pt>
                <c:pt idx="27">
                  <c:v>5</c:v>
                </c:pt>
                <c:pt idx="28">
                  <c:v>32</c:v>
                </c:pt>
                <c:pt idx="29">
                  <c:v>1</c:v>
                </c:pt>
                <c:pt idx="32">
                  <c:v>6</c:v>
                </c:pt>
                <c:pt idx="33">
                  <c:v>5</c:v>
                </c:pt>
                <c:pt idx="34">
                  <c:v>2</c:v>
                </c:pt>
                <c:pt idx="35">
                  <c:v>18</c:v>
                </c:pt>
                <c:pt idx="36">
                  <c:v>7</c:v>
                </c:pt>
                <c:pt idx="37">
                  <c:v>4</c:v>
                </c:pt>
                <c:pt idx="38">
                  <c:v>1</c:v>
                </c:pt>
                <c:pt idx="40">
                  <c:v>1</c:v>
                </c:pt>
                <c:pt idx="41">
                  <c:v>3</c:v>
                </c:pt>
                <c:pt idx="42">
                  <c:v>40</c:v>
                </c:pt>
                <c:pt idx="43">
                  <c:v>8</c:v>
                </c:pt>
                <c:pt idx="44">
                  <c:v>15</c:v>
                </c:pt>
                <c:pt idx="46">
                  <c:v>1</c:v>
                </c:pt>
                <c:pt idx="47">
                  <c:v>2</c:v>
                </c:pt>
                <c:pt idx="48">
                  <c:v>2</c:v>
                </c:pt>
                <c:pt idx="49">
                  <c:v>46</c:v>
                </c:pt>
                <c:pt idx="50">
                  <c:v>11</c:v>
                </c:pt>
                <c:pt idx="51">
                  <c:v>3</c:v>
                </c:pt>
                <c:pt idx="52">
                  <c:v>24</c:v>
                </c:pt>
                <c:pt idx="53">
                  <c:v>3</c:v>
                </c:pt>
                <c:pt idx="54">
                  <c:v>3</c:v>
                </c:pt>
                <c:pt idx="55">
                  <c:v>9</c:v>
                </c:pt>
                <c:pt idx="56">
                  <c:v>77</c:v>
                </c:pt>
                <c:pt idx="57">
                  <c:v>16</c:v>
                </c:pt>
                <c:pt idx="58">
                  <c:v>6</c:v>
                </c:pt>
                <c:pt idx="59">
                  <c:v>4</c:v>
                </c:pt>
                <c:pt idx="61">
                  <c:v>6</c:v>
                </c:pt>
                <c:pt idx="62">
                  <c:v>4</c:v>
                </c:pt>
                <c:pt idx="63">
                  <c:v>40</c:v>
                </c:pt>
                <c:pt idx="64">
                  <c:v>6</c:v>
                </c:pt>
                <c:pt idx="65">
                  <c:v>4</c:v>
                </c:pt>
                <c:pt idx="66">
                  <c:v>1</c:v>
                </c:pt>
                <c:pt idx="68">
                  <c:v>6</c:v>
                </c:pt>
                <c:pt idx="69">
                  <c:v>8</c:v>
                </c:pt>
                <c:pt idx="70">
                  <c:v>59</c:v>
                </c:pt>
                <c:pt idx="71">
                  <c:v>4</c:v>
                </c:pt>
                <c:pt idx="72">
                  <c:v>3</c:v>
                </c:pt>
                <c:pt idx="73">
                  <c:v>3</c:v>
                </c:pt>
                <c:pt idx="74">
                  <c:v>2</c:v>
                </c:pt>
                <c:pt idx="75">
                  <c:v>4</c:v>
                </c:pt>
                <c:pt idx="76">
                  <c:v>4</c:v>
                </c:pt>
                <c:pt idx="77">
                  <c:v>104</c:v>
                </c:pt>
                <c:pt idx="78">
                  <c:v>7</c:v>
                </c:pt>
                <c:pt idx="79">
                  <c:v>11</c:v>
                </c:pt>
                <c:pt idx="80">
                  <c:v>8</c:v>
                </c:pt>
                <c:pt idx="81">
                  <c:v>2</c:v>
                </c:pt>
                <c:pt idx="82">
                  <c:v>4</c:v>
                </c:pt>
                <c:pt idx="83">
                  <c:v>16</c:v>
                </c:pt>
                <c:pt idx="84">
                  <c:v>92</c:v>
                </c:pt>
                <c:pt idx="85">
                  <c:v>14</c:v>
                </c:pt>
                <c:pt idx="86">
                  <c:v>4</c:v>
                </c:pt>
                <c:pt idx="87">
                  <c:v>3</c:v>
                </c:pt>
                <c:pt idx="88">
                  <c:v>4</c:v>
                </c:pt>
                <c:pt idx="89">
                  <c:v>2</c:v>
                </c:pt>
                <c:pt idx="90">
                  <c:v>6</c:v>
                </c:pt>
                <c:pt idx="91">
                  <c:v>130</c:v>
                </c:pt>
                <c:pt idx="92">
                  <c:v>17</c:v>
                </c:pt>
                <c:pt idx="93">
                  <c:v>14</c:v>
                </c:pt>
                <c:pt idx="94">
                  <c:v>6</c:v>
                </c:pt>
                <c:pt idx="95">
                  <c:v>16</c:v>
                </c:pt>
                <c:pt idx="96">
                  <c:v>17</c:v>
                </c:pt>
                <c:pt idx="97">
                  <c:v>17</c:v>
                </c:pt>
                <c:pt idx="98">
                  <c:v>117</c:v>
                </c:pt>
                <c:pt idx="99">
                  <c:v>8</c:v>
                </c:pt>
                <c:pt idx="100">
                  <c:v>9</c:v>
                </c:pt>
                <c:pt idx="101">
                  <c:v>3</c:v>
                </c:pt>
                <c:pt idx="102">
                  <c:v>6</c:v>
                </c:pt>
                <c:pt idx="103">
                  <c:v>3</c:v>
                </c:pt>
                <c:pt idx="105">
                  <c:v>6</c:v>
                </c:pt>
                <c:pt idx="106">
                  <c:v>3</c:v>
                </c:pt>
                <c:pt idx="107">
                  <c:v>52</c:v>
                </c:pt>
                <c:pt idx="108">
                  <c:v>37</c:v>
                </c:pt>
                <c:pt idx="109">
                  <c:v>55</c:v>
                </c:pt>
                <c:pt idx="110">
                  <c:v>79</c:v>
                </c:pt>
                <c:pt idx="111">
                  <c:v>135</c:v>
                </c:pt>
                <c:pt idx="112">
                  <c:v>767</c:v>
                </c:pt>
                <c:pt idx="113">
                  <c:v>261</c:v>
                </c:pt>
                <c:pt idx="114">
                  <c:v>185</c:v>
                </c:pt>
                <c:pt idx="115">
                  <c:v>31</c:v>
                </c:pt>
                <c:pt idx="116">
                  <c:v>56</c:v>
                </c:pt>
                <c:pt idx="117">
                  <c:v>78</c:v>
                </c:pt>
                <c:pt idx="118">
                  <c:v>111</c:v>
                </c:pt>
                <c:pt idx="119">
                  <c:v>673</c:v>
                </c:pt>
                <c:pt idx="120">
                  <c:v>112</c:v>
                </c:pt>
                <c:pt idx="121">
                  <c:v>72</c:v>
                </c:pt>
                <c:pt idx="122">
                  <c:v>33</c:v>
                </c:pt>
                <c:pt idx="123">
                  <c:v>50</c:v>
                </c:pt>
                <c:pt idx="124">
                  <c:v>88</c:v>
                </c:pt>
                <c:pt idx="125">
                  <c:v>128</c:v>
                </c:pt>
                <c:pt idx="126">
                  <c:v>795</c:v>
                </c:pt>
                <c:pt idx="127">
                  <c:v>154</c:v>
                </c:pt>
                <c:pt idx="128">
                  <c:v>76</c:v>
                </c:pt>
                <c:pt idx="129">
                  <c:v>56</c:v>
                </c:pt>
                <c:pt idx="130">
                  <c:v>65</c:v>
                </c:pt>
                <c:pt idx="131">
                  <c:v>107</c:v>
                </c:pt>
                <c:pt idx="132">
                  <c:v>193</c:v>
                </c:pt>
                <c:pt idx="133">
                  <c:v>1044</c:v>
                </c:pt>
                <c:pt idx="134">
                  <c:v>136</c:v>
                </c:pt>
                <c:pt idx="135">
                  <c:v>91</c:v>
                </c:pt>
                <c:pt idx="136">
                  <c:v>46</c:v>
                </c:pt>
                <c:pt idx="137">
                  <c:v>90</c:v>
                </c:pt>
                <c:pt idx="138">
                  <c:v>138</c:v>
                </c:pt>
                <c:pt idx="139">
                  <c:v>262</c:v>
                </c:pt>
                <c:pt idx="140">
                  <c:v>1365</c:v>
                </c:pt>
                <c:pt idx="141">
                  <c:v>322</c:v>
                </c:pt>
                <c:pt idx="142">
                  <c:v>122</c:v>
                </c:pt>
                <c:pt idx="143">
                  <c:v>83</c:v>
                </c:pt>
                <c:pt idx="144">
                  <c:v>135</c:v>
                </c:pt>
                <c:pt idx="145">
                  <c:v>217</c:v>
                </c:pt>
                <c:pt idx="146">
                  <c:v>322</c:v>
                </c:pt>
                <c:pt idx="147">
                  <c:v>1629</c:v>
                </c:pt>
                <c:pt idx="148">
                  <c:v>242</c:v>
                </c:pt>
                <c:pt idx="149">
                  <c:v>166</c:v>
                </c:pt>
                <c:pt idx="150">
                  <c:v>110</c:v>
                </c:pt>
                <c:pt idx="151">
                  <c:v>497</c:v>
                </c:pt>
                <c:pt idx="152">
                  <c:v>748</c:v>
                </c:pt>
                <c:pt idx="153">
                  <c:v>667</c:v>
                </c:pt>
                <c:pt idx="154">
                  <c:v>1858</c:v>
                </c:pt>
                <c:pt idx="155">
                  <c:v>312</c:v>
                </c:pt>
                <c:pt idx="156">
                  <c:v>234</c:v>
                </c:pt>
                <c:pt idx="157">
                  <c:v>113</c:v>
                </c:pt>
                <c:pt idx="158">
                  <c:v>200</c:v>
                </c:pt>
                <c:pt idx="159">
                  <c:v>292</c:v>
                </c:pt>
                <c:pt idx="160">
                  <c:v>520</c:v>
                </c:pt>
                <c:pt idx="161">
                  <c:v>1968</c:v>
                </c:pt>
                <c:pt idx="162">
                  <c:v>432</c:v>
                </c:pt>
                <c:pt idx="163">
                  <c:v>265</c:v>
                </c:pt>
                <c:pt idx="164">
                  <c:v>136</c:v>
                </c:pt>
                <c:pt idx="165">
                  <c:v>216</c:v>
                </c:pt>
                <c:pt idx="166">
                  <c:v>331</c:v>
                </c:pt>
                <c:pt idx="167">
                  <c:v>321</c:v>
                </c:pt>
                <c:pt idx="168">
                  <c:v>2187</c:v>
                </c:pt>
                <c:pt idx="169">
                  <c:v>380</c:v>
                </c:pt>
                <c:pt idx="170">
                  <c:v>244</c:v>
                </c:pt>
                <c:pt idx="171">
                  <c:v>206</c:v>
                </c:pt>
                <c:pt idx="172">
                  <c:v>320</c:v>
                </c:pt>
                <c:pt idx="173">
                  <c:v>372</c:v>
                </c:pt>
                <c:pt idx="174">
                  <c:v>717</c:v>
                </c:pt>
                <c:pt idx="175">
                  <c:v>2315</c:v>
                </c:pt>
                <c:pt idx="176">
                  <c:v>490</c:v>
                </c:pt>
                <c:pt idx="177">
                  <c:v>261</c:v>
                </c:pt>
                <c:pt idx="178">
                  <c:v>191</c:v>
                </c:pt>
                <c:pt idx="179">
                  <c:v>271</c:v>
                </c:pt>
                <c:pt idx="180">
                  <c:v>363</c:v>
                </c:pt>
                <c:pt idx="181">
                  <c:v>596</c:v>
                </c:pt>
                <c:pt idx="182">
                  <c:v>1959</c:v>
                </c:pt>
                <c:pt idx="183">
                  <c:v>388</c:v>
                </c:pt>
                <c:pt idx="184">
                  <c:v>250</c:v>
                </c:pt>
                <c:pt idx="185">
                  <c:v>151</c:v>
                </c:pt>
                <c:pt idx="186">
                  <c:v>212</c:v>
                </c:pt>
                <c:pt idx="187">
                  <c:v>341</c:v>
                </c:pt>
                <c:pt idx="188">
                  <c:v>533</c:v>
                </c:pt>
                <c:pt idx="189">
                  <c:v>1679</c:v>
                </c:pt>
                <c:pt idx="190">
                  <c:v>325</c:v>
                </c:pt>
                <c:pt idx="191">
                  <c:v>202</c:v>
                </c:pt>
                <c:pt idx="192">
                  <c:v>150</c:v>
                </c:pt>
                <c:pt idx="193">
                  <c:v>199</c:v>
                </c:pt>
                <c:pt idx="194">
                  <c:v>289</c:v>
                </c:pt>
                <c:pt idx="195">
                  <c:v>476</c:v>
                </c:pt>
                <c:pt idx="196">
                  <c:v>1558</c:v>
                </c:pt>
                <c:pt idx="197">
                  <c:v>194</c:v>
                </c:pt>
                <c:pt idx="198">
                  <c:v>209</c:v>
                </c:pt>
                <c:pt idx="199">
                  <c:v>127</c:v>
                </c:pt>
                <c:pt idx="200">
                  <c:v>207</c:v>
                </c:pt>
                <c:pt idx="201">
                  <c:v>290</c:v>
                </c:pt>
                <c:pt idx="202">
                  <c:v>490</c:v>
                </c:pt>
                <c:pt idx="203">
                  <c:v>1506</c:v>
                </c:pt>
                <c:pt idx="204">
                  <c:v>294</c:v>
                </c:pt>
                <c:pt idx="205">
                  <c:v>197</c:v>
                </c:pt>
                <c:pt idx="206">
                  <c:v>160</c:v>
                </c:pt>
                <c:pt idx="207">
                  <c:v>208</c:v>
                </c:pt>
                <c:pt idx="208">
                  <c:v>303</c:v>
                </c:pt>
                <c:pt idx="209">
                  <c:v>374</c:v>
                </c:pt>
                <c:pt idx="210">
                  <c:v>1310</c:v>
                </c:pt>
                <c:pt idx="211">
                  <c:v>254</c:v>
                </c:pt>
                <c:pt idx="212">
                  <c:v>193</c:v>
                </c:pt>
                <c:pt idx="213">
                  <c:v>136</c:v>
                </c:pt>
                <c:pt idx="214">
                  <c:v>199</c:v>
                </c:pt>
                <c:pt idx="215">
                  <c:v>270</c:v>
                </c:pt>
                <c:pt idx="216">
                  <c:v>340</c:v>
                </c:pt>
                <c:pt idx="217">
                  <c:v>984</c:v>
                </c:pt>
                <c:pt idx="218">
                  <c:v>202</c:v>
                </c:pt>
                <c:pt idx="219">
                  <c:v>199</c:v>
                </c:pt>
                <c:pt idx="220">
                  <c:v>147</c:v>
                </c:pt>
                <c:pt idx="221">
                  <c:v>270</c:v>
                </c:pt>
                <c:pt idx="222">
                  <c:v>234</c:v>
                </c:pt>
                <c:pt idx="223">
                  <c:v>227</c:v>
                </c:pt>
                <c:pt idx="224">
                  <c:v>507</c:v>
                </c:pt>
                <c:pt idx="225">
                  <c:v>115</c:v>
                </c:pt>
                <c:pt idx="226">
                  <c:v>27</c:v>
                </c:pt>
                <c:pt idx="227">
                  <c:v>84</c:v>
                </c:pt>
                <c:pt idx="228">
                  <c:v>108</c:v>
                </c:pt>
                <c:pt idx="229">
                  <c:v>227</c:v>
                </c:pt>
                <c:pt idx="230">
                  <c:v>238</c:v>
                </c:pt>
                <c:pt idx="231">
                  <c:v>889</c:v>
                </c:pt>
                <c:pt idx="232">
                  <c:v>186</c:v>
                </c:pt>
                <c:pt idx="233">
                  <c:v>230</c:v>
                </c:pt>
                <c:pt idx="234">
                  <c:v>152</c:v>
                </c:pt>
                <c:pt idx="235">
                  <c:v>211</c:v>
                </c:pt>
                <c:pt idx="236">
                  <c:v>345</c:v>
                </c:pt>
                <c:pt idx="237">
                  <c:v>443</c:v>
                </c:pt>
                <c:pt idx="238">
                  <c:v>1660</c:v>
                </c:pt>
                <c:pt idx="239">
                  <c:v>475</c:v>
                </c:pt>
                <c:pt idx="240">
                  <c:v>255</c:v>
                </c:pt>
                <c:pt idx="241">
                  <c:v>183</c:v>
                </c:pt>
                <c:pt idx="242">
                  <c:v>229</c:v>
                </c:pt>
                <c:pt idx="243">
                  <c:v>495</c:v>
                </c:pt>
                <c:pt idx="244">
                  <c:v>734</c:v>
                </c:pt>
                <c:pt idx="245">
                  <c:v>2616</c:v>
                </c:pt>
                <c:pt idx="246">
                  <c:v>663</c:v>
                </c:pt>
                <c:pt idx="247">
                  <c:v>387</c:v>
                </c:pt>
                <c:pt idx="248">
                  <c:v>233</c:v>
                </c:pt>
                <c:pt idx="249">
                  <c:v>328</c:v>
                </c:pt>
                <c:pt idx="250">
                  <c:v>573</c:v>
                </c:pt>
                <c:pt idx="251">
                  <c:v>757</c:v>
                </c:pt>
                <c:pt idx="252">
                  <c:v>2702</c:v>
                </c:pt>
                <c:pt idx="253">
                  <c:v>483</c:v>
                </c:pt>
                <c:pt idx="254">
                  <c:v>335</c:v>
                </c:pt>
                <c:pt idx="255">
                  <c:v>193</c:v>
                </c:pt>
                <c:pt idx="256">
                  <c:v>256</c:v>
                </c:pt>
                <c:pt idx="257">
                  <c:v>366</c:v>
                </c:pt>
                <c:pt idx="258">
                  <c:v>584</c:v>
                </c:pt>
                <c:pt idx="259">
                  <c:v>1795</c:v>
                </c:pt>
                <c:pt idx="260">
                  <c:v>504</c:v>
                </c:pt>
                <c:pt idx="261">
                  <c:v>229</c:v>
                </c:pt>
                <c:pt idx="262">
                  <c:v>146</c:v>
                </c:pt>
                <c:pt idx="263">
                  <c:v>191</c:v>
                </c:pt>
                <c:pt idx="264">
                  <c:v>316</c:v>
                </c:pt>
                <c:pt idx="265">
                  <c:v>459</c:v>
                </c:pt>
                <c:pt idx="266">
                  <c:v>1989</c:v>
                </c:pt>
                <c:pt idx="267">
                  <c:v>376</c:v>
                </c:pt>
                <c:pt idx="268">
                  <c:v>169</c:v>
                </c:pt>
                <c:pt idx="269">
                  <c:v>83</c:v>
                </c:pt>
                <c:pt idx="270">
                  <c:v>147</c:v>
                </c:pt>
                <c:pt idx="271">
                  <c:v>210</c:v>
                </c:pt>
                <c:pt idx="272">
                  <c:v>317</c:v>
                </c:pt>
                <c:pt idx="273">
                  <c:v>1412</c:v>
                </c:pt>
                <c:pt idx="274">
                  <c:v>270</c:v>
                </c:pt>
                <c:pt idx="275">
                  <c:v>135</c:v>
                </c:pt>
                <c:pt idx="276">
                  <c:v>92</c:v>
                </c:pt>
                <c:pt idx="277">
                  <c:v>103</c:v>
                </c:pt>
                <c:pt idx="278">
                  <c:v>139</c:v>
                </c:pt>
                <c:pt idx="279">
                  <c:v>207</c:v>
                </c:pt>
                <c:pt idx="280">
                  <c:v>1116</c:v>
                </c:pt>
                <c:pt idx="281">
                  <c:v>174</c:v>
                </c:pt>
                <c:pt idx="282">
                  <c:v>103</c:v>
                </c:pt>
                <c:pt idx="283">
                  <c:v>41</c:v>
                </c:pt>
                <c:pt idx="284">
                  <c:v>69</c:v>
                </c:pt>
                <c:pt idx="285">
                  <c:v>73</c:v>
                </c:pt>
                <c:pt idx="286">
                  <c:v>123</c:v>
                </c:pt>
                <c:pt idx="287">
                  <c:v>697</c:v>
                </c:pt>
                <c:pt idx="288">
                  <c:v>110</c:v>
                </c:pt>
                <c:pt idx="289">
                  <c:v>33</c:v>
                </c:pt>
                <c:pt idx="290">
                  <c:v>23</c:v>
                </c:pt>
                <c:pt idx="291">
                  <c:v>32</c:v>
                </c:pt>
                <c:pt idx="292">
                  <c:v>49</c:v>
                </c:pt>
                <c:pt idx="293">
                  <c:v>55</c:v>
                </c:pt>
                <c:pt idx="294">
                  <c:v>557</c:v>
                </c:pt>
                <c:pt idx="295">
                  <c:v>60</c:v>
                </c:pt>
                <c:pt idx="296">
                  <c:v>31</c:v>
                </c:pt>
                <c:pt idx="297">
                  <c:v>13</c:v>
                </c:pt>
                <c:pt idx="298">
                  <c:v>25</c:v>
                </c:pt>
                <c:pt idx="299">
                  <c:v>24</c:v>
                </c:pt>
                <c:pt idx="300">
                  <c:v>31</c:v>
                </c:pt>
                <c:pt idx="301">
                  <c:v>251</c:v>
                </c:pt>
                <c:pt idx="302">
                  <c:v>34</c:v>
                </c:pt>
                <c:pt idx="303">
                  <c:v>47</c:v>
                </c:pt>
                <c:pt idx="306">
                  <c:v>2</c:v>
                </c:pt>
                <c:pt idx="307">
                  <c:v>12</c:v>
                </c:pt>
                <c:pt idx="308">
                  <c:v>39</c:v>
                </c:pt>
                <c:pt idx="309">
                  <c:v>4</c:v>
                </c:pt>
                <c:pt idx="310">
                  <c:v>4</c:v>
                </c:pt>
                <c:pt idx="311">
                  <c:v>2</c:v>
                </c:pt>
                <c:pt idx="312">
                  <c:v>2</c:v>
                </c:pt>
                <c:pt idx="313">
                  <c:v>2</c:v>
                </c:pt>
                <c:pt idx="314">
                  <c:v>9</c:v>
                </c:pt>
                <c:pt idx="315">
                  <c:v>48</c:v>
                </c:pt>
                <c:pt idx="316">
                  <c:v>6</c:v>
                </c:pt>
                <c:pt idx="317">
                  <c:v>1</c:v>
                </c:pt>
                <c:pt idx="318">
                  <c:v>2</c:v>
                </c:pt>
                <c:pt idx="319">
                  <c:v>4</c:v>
                </c:pt>
                <c:pt idx="321">
                  <c:v>5</c:v>
                </c:pt>
                <c:pt idx="322">
                  <c:v>41</c:v>
                </c:pt>
                <c:pt idx="323">
                  <c:v>4</c:v>
                </c:pt>
                <c:pt idx="324">
                  <c:v>2</c:v>
                </c:pt>
                <c:pt idx="325">
                  <c:v>4</c:v>
                </c:pt>
                <c:pt idx="326">
                  <c:v>4</c:v>
                </c:pt>
                <c:pt idx="327">
                  <c:v>3</c:v>
                </c:pt>
                <c:pt idx="328">
                  <c:v>7</c:v>
                </c:pt>
                <c:pt idx="329">
                  <c:v>29</c:v>
                </c:pt>
                <c:pt idx="330">
                  <c:v>3</c:v>
                </c:pt>
                <c:pt idx="331">
                  <c:v>3</c:v>
                </c:pt>
                <c:pt idx="332">
                  <c:v>3</c:v>
                </c:pt>
                <c:pt idx="333">
                  <c:v>3</c:v>
                </c:pt>
                <c:pt idx="334">
                  <c:v>19</c:v>
                </c:pt>
                <c:pt idx="335">
                  <c:v>38</c:v>
                </c:pt>
                <c:pt idx="336">
                  <c:v>232</c:v>
                </c:pt>
                <c:pt idx="337">
                  <c:v>19</c:v>
                </c:pt>
                <c:pt idx="338">
                  <c:v>28</c:v>
                </c:pt>
                <c:pt idx="339">
                  <c:v>12</c:v>
                </c:pt>
                <c:pt idx="340">
                  <c:v>84</c:v>
                </c:pt>
                <c:pt idx="341">
                  <c:v>114</c:v>
                </c:pt>
                <c:pt idx="342">
                  <c:v>89</c:v>
                </c:pt>
                <c:pt idx="343">
                  <c:v>461</c:v>
                </c:pt>
                <c:pt idx="344">
                  <c:v>45</c:v>
                </c:pt>
                <c:pt idx="345">
                  <c:v>29</c:v>
                </c:pt>
                <c:pt idx="346">
                  <c:v>18</c:v>
                </c:pt>
                <c:pt idx="347">
                  <c:v>19</c:v>
                </c:pt>
                <c:pt idx="348">
                  <c:v>50</c:v>
                </c:pt>
                <c:pt idx="349">
                  <c:v>54</c:v>
                </c:pt>
                <c:pt idx="350">
                  <c:v>211</c:v>
                </c:pt>
                <c:pt idx="351">
                  <c:v>41</c:v>
                </c:pt>
                <c:pt idx="352">
                  <c:v>34</c:v>
                </c:pt>
                <c:pt idx="353">
                  <c:v>17</c:v>
                </c:pt>
                <c:pt idx="354">
                  <c:v>40</c:v>
                </c:pt>
                <c:pt idx="355">
                  <c:v>110</c:v>
                </c:pt>
                <c:pt idx="356">
                  <c:v>70</c:v>
                </c:pt>
                <c:pt idx="357">
                  <c:v>23</c:v>
                </c:pt>
                <c:pt idx="358">
                  <c:v>1</c:v>
                </c:pt>
                <c:pt idx="359">
                  <c:v>40</c:v>
                </c:pt>
                <c:pt idx="360">
                  <c:v>37</c:v>
                </c:pt>
                <c:pt idx="361">
                  <c:v>89</c:v>
                </c:pt>
                <c:pt idx="362">
                  <c:v>82</c:v>
                </c:pt>
                <c:pt idx="363">
                  <c:v>47</c:v>
                </c:pt>
                <c:pt idx="364">
                  <c:v>113</c:v>
                </c:pt>
              </c:numCache>
            </c:numRef>
          </c:val>
          <c:extLst>
            <c:ext xmlns:c16="http://schemas.microsoft.com/office/drawing/2014/chart" uri="{C3380CC4-5D6E-409C-BE32-E72D297353CC}">
              <c16:uniqueId val="{00000000-4A36-453D-90B7-82B67B1F1D78}"/>
            </c:ext>
          </c:extLst>
        </c:ser>
        <c:ser>
          <c:idx val="1"/>
          <c:order val="1"/>
          <c:tx>
            <c:strRef>
              <c:f>prova!$D$1</c:f>
              <c:strCache>
                <c:ptCount val="1"/>
                <c:pt idx="0">
                  <c:v>Matrimoni civili</c:v>
                </c:pt>
              </c:strCache>
            </c:strRef>
          </c:tx>
          <c:spPr>
            <a:solidFill>
              <a:srgbClr val="E42618"/>
            </a:solidFill>
            <a:ln>
              <a:noFill/>
            </a:ln>
            <a:effectLst/>
          </c:spPr>
          <c:invertIfNegative val="0"/>
          <c:cat>
            <c:numRef>
              <c:f>prova!$B$2:$B$366</c:f>
              <c:numCache>
                <c:formatCode>[$-410]d\-mmm;@</c:formatCode>
                <c:ptCount val="365"/>
                <c:pt idx="0">
                  <c:v>44927</c:v>
                </c:pt>
                <c:pt idx="1">
                  <c:v>44928</c:v>
                </c:pt>
                <c:pt idx="2">
                  <c:v>44929</c:v>
                </c:pt>
                <c:pt idx="3">
                  <c:v>44930</c:v>
                </c:pt>
                <c:pt idx="4">
                  <c:v>44931</c:v>
                </c:pt>
                <c:pt idx="5">
                  <c:v>44932</c:v>
                </c:pt>
                <c:pt idx="6">
                  <c:v>44933</c:v>
                </c:pt>
                <c:pt idx="7">
                  <c:v>44934</c:v>
                </c:pt>
                <c:pt idx="8">
                  <c:v>44935</c:v>
                </c:pt>
                <c:pt idx="9">
                  <c:v>44936</c:v>
                </c:pt>
                <c:pt idx="10">
                  <c:v>44937</c:v>
                </c:pt>
                <c:pt idx="11">
                  <c:v>44938</c:v>
                </c:pt>
                <c:pt idx="12">
                  <c:v>44939</c:v>
                </c:pt>
                <c:pt idx="13">
                  <c:v>44940</c:v>
                </c:pt>
                <c:pt idx="14">
                  <c:v>44941</c:v>
                </c:pt>
                <c:pt idx="15">
                  <c:v>44942</c:v>
                </c:pt>
                <c:pt idx="16">
                  <c:v>44943</c:v>
                </c:pt>
                <c:pt idx="17">
                  <c:v>44944</c:v>
                </c:pt>
                <c:pt idx="18">
                  <c:v>44945</c:v>
                </c:pt>
                <c:pt idx="19">
                  <c:v>44946</c:v>
                </c:pt>
                <c:pt idx="20">
                  <c:v>44947</c:v>
                </c:pt>
                <c:pt idx="21">
                  <c:v>44948</c:v>
                </c:pt>
                <c:pt idx="22">
                  <c:v>44949</c:v>
                </c:pt>
                <c:pt idx="23">
                  <c:v>44950</c:v>
                </c:pt>
                <c:pt idx="24">
                  <c:v>44951</c:v>
                </c:pt>
                <c:pt idx="25">
                  <c:v>44952</c:v>
                </c:pt>
                <c:pt idx="26">
                  <c:v>44953</c:v>
                </c:pt>
                <c:pt idx="27">
                  <c:v>44954</c:v>
                </c:pt>
                <c:pt idx="28">
                  <c:v>44955</c:v>
                </c:pt>
                <c:pt idx="29">
                  <c:v>44956</c:v>
                </c:pt>
                <c:pt idx="30">
                  <c:v>44957</c:v>
                </c:pt>
                <c:pt idx="31">
                  <c:v>44958</c:v>
                </c:pt>
                <c:pt idx="32">
                  <c:v>44959</c:v>
                </c:pt>
                <c:pt idx="33">
                  <c:v>44960</c:v>
                </c:pt>
                <c:pt idx="34">
                  <c:v>44961</c:v>
                </c:pt>
                <c:pt idx="35">
                  <c:v>44962</c:v>
                </c:pt>
                <c:pt idx="36">
                  <c:v>44963</c:v>
                </c:pt>
                <c:pt idx="37">
                  <c:v>44964</c:v>
                </c:pt>
                <c:pt idx="38">
                  <c:v>44965</c:v>
                </c:pt>
                <c:pt idx="39">
                  <c:v>44966</c:v>
                </c:pt>
                <c:pt idx="40">
                  <c:v>44967</c:v>
                </c:pt>
                <c:pt idx="41">
                  <c:v>44968</c:v>
                </c:pt>
                <c:pt idx="42">
                  <c:v>44969</c:v>
                </c:pt>
                <c:pt idx="43">
                  <c:v>44970</c:v>
                </c:pt>
                <c:pt idx="44">
                  <c:v>44971</c:v>
                </c:pt>
                <c:pt idx="45">
                  <c:v>44972</c:v>
                </c:pt>
                <c:pt idx="46">
                  <c:v>44973</c:v>
                </c:pt>
                <c:pt idx="47">
                  <c:v>44974</c:v>
                </c:pt>
                <c:pt idx="48">
                  <c:v>44975</c:v>
                </c:pt>
                <c:pt idx="49">
                  <c:v>44976</c:v>
                </c:pt>
                <c:pt idx="50">
                  <c:v>44977</c:v>
                </c:pt>
                <c:pt idx="51">
                  <c:v>44978</c:v>
                </c:pt>
                <c:pt idx="52">
                  <c:v>44979</c:v>
                </c:pt>
                <c:pt idx="53">
                  <c:v>44980</c:v>
                </c:pt>
                <c:pt idx="54">
                  <c:v>44981</c:v>
                </c:pt>
                <c:pt idx="55">
                  <c:v>44982</c:v>
                </c:pt>
                <c:pt idx="56">
                  <c:v>44983</c:v>
                </c:pt>
                <c:pt idx="57">
                  <c:v>44984</c:v>
                </c:pt>
                <c:pt idx="58">
                  <c:v>44985</c:v>
                </c:pt>
                <c:pt idx="59">
                  <c:v>44986</c:v>
                </c:pt>
                <c:pt idx="60">
                  <c:v>44987</c:v>
                </c:pt>
                <c:pt idx="61">
                  <c:v>44988</c:v>
                </c:pt>
                <c:pt idx="62">
                  <c:v>44989</c:v>
                </c:pt>
                <c:pt idx="63">
                  <c:v>44990</c:v>
                </c:pt>
                <c:pt idx="64">
                  <c:v>44991</c:v>
                </c:pt>
                <c:pt idx="65">
                  <c:v>44992</c:v>
                </c:pt>
                <c:pt idx="66">
                  <c:v>44993</c:v>
                </c:pt>
                <c:pt idx="67">
                  <c:v>44994</c:v>
                </c:pt>
                <c:pt idx="68">
                  <c:v>44995</c:v>
                </c:pt>
                <c:pt idx="69">
                  <c:v>44996</c:v>
                </c:pt>
                <c:pt idx="70">
                  <c:v>44997</c:v>
                </c:pt>
                <c:pt idx="71">
                  <c:v>44998</c:v>
                </c:pt>
                <c:pt idx="72">
                  <c:v>44999</c:v>
                </c:pt>
                <c:pt idx="73">
                  <c:v>45000</c:v>
                </c:pt>
                <c:pt idx="74">
                  <c:v>45001</c:v>
                </c:pt>
                <c:pt idx="75">
                  <c:v>45002</c:v>
                </c:pt>
                <c:pt idx="76">
                  <c:v>45003</c:v>
                </c:pt>
                <c:pt idx="77">
                  <c:v>45004</c:v>
                </c:pt>
                <c:pt idx="78">
                  <c:v>45005</c:v>
                </c:pt>
                <c:pt idx="79">
                  <c:v>45006</c:v>
                </c:pt>
                <c:pt idx="80">
                  <c:v>45007</c:v>
                </c:pt>
                <c:pt idx="81">
                  <c:v>45008</c:v>
                </c:pt>
                <c:pt idx="82">
                  <c:v>45009</c:v>
                </c:pt>
                <c:pt idx="83">
                  <c:v>45010</c:v>
                </c:pt>
                <c:pt idx="84">
                  <c:v>45011</c:v>
                </c:pt>
                <c:pt idx="85">
                  <c:v>45012</c:v>
                </c:pt>
                <c:pt idx="86">
                  <c:v>45013</c:v>
                </c:pt>
                <c:pt idx="87">
                  <c:v>45014</c:v>
                </c:pt>
                <c:pt idx="88">
                  <c:v>45015</c:v>
                </c:pt>
                <c:pt idx="89">
                  <c:v>45016</c:v>
                </c:pt>
                <c:pt idx="90">
                  <c:v>45017</c:v>
                </c:pt>
                <c:pt idx="91">
                  <c:v>45018</c:v>
                </c:pt>
                <c:pt idx="92">
                  <c:v>45019</c:v>
                </c:pt>
                <c:pt idx="93">
                  <c:v>45020</c:v>
                </c:pt>
                <c:pt idx="94">
                  <c:v>45021</c:v>
                </c:pt>
                <c:pt idx="95">
                  <c:v>45022</c:v>
                </c:pt>
                <c:pt idx="96">
                  <c:v>45023</c:v>
                </c:pt>
                <c:pt idx="97">
                  <c:v>45024</c:v>
                </c:pt>
                <c:pt idx="98">
                  <c:v>45025</c:v>
                </c:pt>
                <c:pt idx="99">
                  <c:v>45026</c:v>
                </c:pt>
                <c:pt idx="100">
                  <c:v>45027</c:v>
                </c:pt>
                <c:pt idx="101">
                  <c:v>45028</c:v>
                </c:pt>
                <c:pt idx="102">
                  <c:v>45029</c:v>
                </c:pt>
                <c:pt idx="103">
                  <c:v>45030</c:v>
                </c:pt>
                <c:pt idx="104">
                  <c:v>45031</c:v>
                </c:pt>
                <c:pt idx="105">
                  <c:v>45032</c:v>
                </c:pt>
                <c:pt idx="106">
                  <c:v>45033</c:v>
                </c:pt>
                <c:pt idx="107">
                  <c:v>45034</c:v>
                </c:pt>
                <c:pt idx="108">
                  <c:v>45035</c:v>
                </c:pt>
                <c:pt idx="109">
                  <c:v>45036</c:v>
                </c:pt>
                <c:pt idx="110">
                  <c:v>45037</c:v>
                </c:pt>
                <c:pt idx="111">
                  <c:v>45038</c:v>
                </c:pt>
                <c:pt idx="112">
                  <c:v>45039</c:v>
                </c:pt>
                <c:pt idx="113">
                  <c:v>45040</c:v>
                </c:pt>
                <c:pt idx="114">
                  <c:v>45041</c:v>
                </c:pt>
                <c:pt idx="115">
                  <c:v>45042</c:v>
                </c:pt>
                <c:pt idx="116">
                  <c:v>45043</c:v>
                </c:pt>
                <c:pt idx="117">
                  <c:v>45044</c:v>
                </c:pt>
                <c:pt idx="118">
                  <c:v>45045</c:v>
                </c:pt>
                <c:pt idx="119">
                  <c:v>45046</c:v>
                </c:pt>
                <c:pt idx="120">
                  <c:v>45047</c:v>
                </c:pt>
                <c:pt idx="121">
                  <c:v>45048</c:v>
                </c:pt>
                <c:pt idx="122">
                  <c:v>45049</c:v>
                </c:pt>
                <c:pt idx="123">
                  <c:v>45050</c:v>
                </c:pt>
                <c:pt idx="124">
                  <c:v>45051</c:v>
                </c:pt>
                <c:pt idx="125">
                  <c:v>45052</c:v>
                </c:pt>
                <c:pt idx="126">
                  <c:v>45053</c:v>
                </c:pt>
                <c:pt idx="127">
                  <c:v>45054</c:v>
                </c:pt>
                <c:pt idx="128">
                  <c:v>45055</c:v>
                </c:pt>
                <c:pt idx="129">
                  <c:v>45056</c:v>
                </c:pt>
                <c:pt idx="130">
                  <c:v>45057</c:v>
                </c:pt>
                <c:pt idx="131">
                  <c:v>45058</c:v>
                </c:pt>
                <c:pt idx="132">
                  <c:v>45059</c:v>
                </c:pt>
                <c:pt idx="133">
                  <c:v>45060</c:v>
                </c:pt>
                <c:pt idx="134">
                  <c:v>45061</c:v>
                </c:pt>
                <c:pt idx="135">
                  <c:v>45062</c:v>
                </c:pt>
                <c:pt idx="136">
                  <c:v>45063</c:v>
                </c:pt>
                <c:pt idx="137">
                  <c:v>45064</c:v>
                </c:pt>
                <c:pt idx="138">
                  <c:v>45065</c:v>
                </c:pt>
                <c:pt idx="139">
                  <c:v>45066</c:v>
                </c:pt>
                <c:pt idx="140">
                  <c:v>45067</c:v>
                </c:pt>
                <c:pt idx="141">
                  <c:v>45068</c:v>
                </c:pt>
                <c:pt idx="142">
                  <c:v>45069</c:v>
                </c:pt>
                <c:pt idx="143">
                  <c:v>45070</c:v>
                </c:pt>
                <c:pt idx="144">
                  <c:v>45071</c:v>
                </c:pt>
                <c:pt idx="145">
                  <c:v>45072</c:v>
                </c:pt>
                <c:pt idx="146">
                  <c:v>45073</c:v>
                </c:pt>
                <c:pt idx="147">
                  <c:v>45074</c:v>
                </c:pt>
                <c:pt idx="148">
                  <c:v>45075</c:v>
                </c:pt>
                <c:pt idx="149">
                  <c:v>45076</c:v>
                </c:pt>
                <c:pt idx="150">
                  <c:v>45077</c:v>
                </c:pt>
                <c:pt idx="151">
                  <c:v>45078</c:v>
                </c:pt>
                <c:pt idx="152">
                  <c:v>45079</c:v>
                </c:pt>
                <c:pt idx="153">
                  <c:v>45080</c:v>
                </c:pt>
                <c:pt idx="154">
                  <c:v>45081</c:v>
                </c:pt>
                <c:pt idx="155">
                  <c:v>45082</c:v>
                </c:pt>
                <c:pt idx="156">
                  <c:v>45083</c:v>
                </c:pt>
                <c:pt idx="157">
                  <c:v>45084</c:v>
                </c:pt>
                <c:pt idx="158">
                  <c:v>45085</c:v>
                </c:pt>
                <c:pt idx="159">
                  <c:v>45086</c:v>
                </c:pt>
                <c:pt idx="160">
                  <c:v>45087</c:v>
                </c:pt>
                <c:pt idx="161">
                  <c:v>45088</c:v>
                </c:pt>
                <c:pt idx="162">
                  <c:v>45089</c:v>
                </c:pt>
                <c:pt idx="163">
                  <c:v>45090</c:v>
                </c:pt>
                <c:pt idx="164">
                  <c:v>45091</c:v>
                </c:pt>
                <c:pt idx="165">
                  <c:v>45092</c:v>
                </c:pt>
                <c:pt idx="166">
                  <c:v>45093</c:v>
                </c:pt>
                <c:pt idx="167">
                  <c:v>45094</c:v>
                </c:pt>
                <c:pt idx="168">
                  <c:v>45095</c:v>
                </c:pt>
                <c:pt idx="169">
                  <c:v>45096</c:v>
                </c:pt>
                <c:pt idx="170">
                  <c:v>45097</c:v>
                </c:pt>
                <c:pt idx="171">
                  <c:v>45098</c:v>
                </c:pt>
                <c:pt idx="172">
                  <c:v>45099</c:v>
                </c:pt>
                <c:pt idx="173">
                  <c:v>45100</c:v>
                </c:pt>
                <c:pt idx="174">
                  <c:v>45101</c:v>
                </c:pt>
                <c:pt idx="175">
                  <c:v>45102</c:v>
                </c:pt>
                <c:pt idx="176">
                  <c:v>45103</c:v>
                </c:pt>
                <c:pt idx="177">
                  <c:v>45104</c:v>
                </c:pt>
                <c:pt idx="178">
                  <c:v>45105</c:v>
                </c:pt>
                <c:pt idx="179">
                  <c:v>45106</c:v>
                </c:pt>
                <c:pt idx="180">
                  <c:v>45107</c:v>
                </c:pt>
                <c:pt idx="181">
                  <c:v>45108</c:v>
                </c:pt>
                <c:pt idx="182">
                  <c:v>45109</c:v>
                </c:pt>
                <c:pt idx="183">
                  <c:v>45110</c:v>
                </c:pt>
                <c:pt idx="184">
                  <c:v>45111</c:v>
                </c:pt>
                <c:pt idx="185">
                  <c:v>45112</c:v>
                </c:pt>
                <c:pt idx="186">
                  <c:v>45113</c:v>
                </c:pt>
                <c:pt idx="187">
                  <c:v>45114</c:v>
                </c:pt>
                <c:pt idx="188">
                  <c:v>45115</c:v>
                </c:pt>
                <c:pt idx="189">
                  <c:v>45116</c:v>
                </c:pt>
                <c:pt idx="190">
                  <c:v>45117</c:v>
                </c:pt>
                <c:pt idx="191">
                  <c:v>45118</c:v>
                </c:pt>
                <c:pt idx="192">
                  <c:v>45119</c:v>
                </c:pt>
                <c:pt idx="193">
                  <c:v>45120</c:v>
                </c:pt>
                <c:pt idx="194">
                  <c:v>45121</c:v>
                </c:pt>
                <c:pt idx="195">
                  <c:v>45122</c:v>
                </c:pt>
                <c:pt idx="196">
                  <c:v>45123</c:v>
                </c:pt>
                <c:pt idx="197">
                  <c:v>45124</c:v>
                </c:pt>
                <c:pt idx="198">
                  <c:v>45125</c:v>
                </c:pt>
                <c:pt idx="199">
                  <c:v>45126</c:v>
                </c:pt>
                <c:pt idx="200">
                  <c:v>45127</c:v>
                </c:pt>
                <c:pt idx="201">
                  <c:v>45128</c:v>
                </c:pt>
                <c:pt idx="202">
                  <c:v>45129</c:v>
                </c:pt>
                <c:pt idx="203">
                  <c:v>45130</c:v>
                </c:pt>
                <c:pt idx="204">
                  <c:v>45131</c:v>
                </c:pt>
                <c:pt idx="205">
                  <c:v>45132</c:v>
                </c:pt>
                <c:pt idx="206">
                  <c:v>45133</c:v>
                </c:pt>
                <c:pt idx="207">
                  <c:v>45134</c:v>
                </c:pt>
                <c:pt idx="208">
                  <c:v>45135</c:v>
                </c:pt>
                <c:pt idx="209">
                  <c:v>45136</c:v>
                </c:pt>
                <c:pt idx="210">
                  <c:v>45137</c:v>
                </c:pt>
                <c:pt idx="211">
                  <c:v>45138</c:v>
                </c:pt>
                <c:pt idx="212">
                  <c:v>45139</c:v>
                </c:pt>
                <c:pt idx="213">
                  <c:v>45140</c:v>
                </c:pt>
                <c:pt idx="214">
                  <c:v>45141</c:v>
                </c:pt>
                <c:pt idx="215">
                  <c:v>45142</c:v>
                </c:pt>
                <c:pt idx="216">
                  <c:v>45143</c:v>
                </c:pt>
                <c:pt idx="217">
                  <c:v>45144</c:v>
                </c:pt>
                <c:pt idx="218">
                  <c:v>45145</c:v>
                </c:pt>
                <c:pt idx="219">
                  <c:v>45146</c:v>
                </c:pt>
                <c:pt idx="220">
                  <c:v>45147</c:v>
                </c:pt>
                <c:pt idx="221">
                  <c:v>45148</c:v>
                </c:pt>
                <c:pt idx="222">
                  <c:v>45149</c:v>
                </c:pt>
                <c:pt idx="223">
                  <c:v>45150</c:v>
                </c:pt>
                <c:pt idx="224">
                  <c:v>45151</c:v>
                </c:pt>
                <c:pt idx="225">
                  <c:v>45152</c:v>
                </c:pt>
                <c:pt idx="226">
                  <c:v>45153</c:v>
                </c:pt>
                <c:pt idx="227">
                  <c:v>45154</c:v>
                </c:pt>
                <c:pt idx="228">
                  <c:v>45155</c:v>
                </c:pt>
                <c:pt idx="229">
                  <c:v>45156</c:v>
                </c:pt>
                <c:pt idx="230">
                  <c:v>45157</c:v>
                </c:pt>
                <c:pt idx="231">
                  <c:v>45158</c:v>
                </c:pt>
                <c:pt idx="232">
                  <c:v>45159</c:v>
                </c:pt>
                <c:pt idx="233">
                  <c:v>45160</c:v>
                </c:pt>
                <c:pt idx="234">
                  <c:v>45161</c:v>
                </c:pt>
                <c:pt idx="235">
                  <c:v>45162</c:v>
                </c:pt>
                <c:pt idx="236">
                  <c:v>45163</c:v>
                </c:pt>
                <c:pt idx="237">
                  <c:v>45164</c:v>
                </c:pt>
                <c:pt idx="238">
                  <c:v>45165</c:v>
                </c:pt>
                <c:pt idx="239">
                  <c:v>45166</c:v>
                </c:pt>
                <c:pt idx="240">
                  <c:v>45167</c:v>
                </c:pt>
                <c:pt idx="241">
                  <c:v>45168</c:v>
                </c:pt>
                <c:pt idx="242">
                  <c:v>45169</c:v>
                </c:pt>
                <c:pt idx="243">
                  <c:v>45170</c:v>
                </c:pt>
                <c:pt idx="244">
                  <c:v>45171</c:v>
                </c:pt>
                <c:pt idx="245">
                  <c:v>45172</c:v>
                </c:pt>
                <c:pt idx="246">
                  <c:v>45173</c:v>
                </c:pt>
                <c:pt idx="247">
                  <c:v>45174</c:v>
                </c:pt>
                <c:pt idx="248">
                  <c:v>45175</c:v>
                </c:pt>
                <c:pt idx="249">
                  <c:v>45176</c:v>
                </c:pt>
                <c:pt idx="250">
                  <c:v>45177</c:v>
                </c:pt>
                <c:pt idx="251">
                  <c:v>45178</c:v>
                </c:pt>
                <c:pt idx="252">
                  <c:v>45179</c:v>
                </c:pt>
                <c:pt idx="253">
                  <c:v>45180</c:v>
                </c:pt>
                <c:pt idx="254">
                  <c:v>45181</c:v>
                </c:pt>
                <c:pt idx="255">
                  <c:v>45182</c:v>
                </c:pt>
                <c:pt idx="256">
                  <c:v>45183</c:v>
                </c:pt>
                <c:pt idx="257">
                  <c:v>45184</c:v>
                </c:pt>
                <c:pt idx="258">
                  <c:v>45185</c:v>
                </c:pt>
                <c:pt idx="259">
                  <c:v>45186</c:v>
                </c:pt>
                <c:pt idx="260">
                  <c:v>45187</c:v>
                </c:pt>
                <c:pt idx="261">
                  <c:v>45188</c:v>
                </c:pt>
                <c:pt idx="262">
                  <c:v>45189</c:v>
                </c:pt>
                <c:pt idx="263">
                  <c:v>45190</c:v>
                </c:pt>
                <c:pt idx="264">
                  <c:v>45191</c:v>
                </c:pt>
                <c:pt idx="265">
                  <c:v>45192</c:v>
                </c:pt>
                <c:pt idx="266">
                  <c:v>45193</c:v>
                </c:pt>
                <c:pt idx="267">
                  <c:v>45194</c:v>
                </c:pt>
                <c:pt idx="268">
                  <c:v>45195</c:v>
                </c:pt>
                <c:pt idx="269">
                  <c:v>45196</c:v>
                </c:pt>
                <c:pt idx="270">
                  <c:v>45197</c:v>
                </c:pt>
                <c:pt idx="271">
                  <c:v>45198</c:v>
                </c:pt>
                <c:pt idx="272">
                  <c:v>45199</c:v>
                </c:pt>
                <c:pt idx="273">
                  <c:v>45200</c:v>
                </c:pt>
                <c:pt idx="274">
                  <c:v>45201</c:v>
                </c:pt>
                <c:pt idx="275">
                  <c:v>45202</c:v>
                </c:pt>
                <c:pt idx="276">
                  <c:v>45203</c:v>
                </c:pt>
                <c:pt idx="277">
                  <c:v>45204</c:v>
                </c:pt>
                <c:pt idx="278">
                  <c:v>45205</c:v>
                </c:pt>
                <c:pt idx="279">
                  <c:v>45206</c:v>
                </c:pt>
                <c:pt idx="280">
                  <c:v>45207</c:v>
                </c:pt>
                <c:pt idx="281">
                  <c:v>45208</c:v>
                </c:pt>
                <c:pt idx="282">
                  <c:v>45209</c:v>
                </c:pt>
                <c:pt idx="283">
                  <c:v>45210</c:v>
                </c:pt>
                <c:pt idx="284">
                  <c:v>45211</c:v>
                </c:pt>
                <c:pt idx="285">
                  <c:v>45212</c:v>
                </c:pt>
                <c:pt idx="286">
                  <c:v>45213</c:v>
                </c:pt>
                <c:pt idx="287">
                  <c:v>45214</c:v>
                </c:pt>
                <c:pt idx="288">
                  <c:v>45215</c:v>
                </c:pt>
                <c:pt idx="289">
                  <c:v>45216</c:v>
                </c:pt>
                <c:pt idx="290">
                  <c:v>45217</c:v>
                </c:pt>
                <c:pt idx="291">
                  <c:v>45218</c:v>
                </c:pt>
                <c:pt idx="292">
                  <c:v>45219</c:v>
                </c:pt>
                <c:pt idx="293">
                  <c:v>45220</c:v>
                </c:pt>
                <c:pt idx="294">
                  <c:v>45221</c:v>
                </c:pt>
                <c:pt idx="295">
                  <c:v>45222</c:v>
                </c:pt>
                <c:pt idx="296">
                  <c:v>45223</c:v>
                </c:pt>
                <c:pt idx="297">
                  <c:v>45224</c:v>
                </c:pt>
                <c:pt idx="298">
                  <c:v>45225</c:v>
                </c:pt>
                <c:pt idx="299">
                  <c:v>45226</c:v>
                </c:pt>
                <c:pt idx="300">
                  <c:v>45227</c:v>
                </c:pt>
                <c:pt idx="301">
                  <c:v>45228</c:v>
                </c:pt>
                <c:pt idx="302">
                  <c:v>45229</c:v>
                </c:pt>
                <c:pt idx="303">
                  <c:v>45230</c:v>
                </c:pt>
                <c:pt idx="304">
                  <c:v>45231</c:v>
                </c:pt>
                <c:pt idx="305">
                  <c:v>45232</c:v>
                </c:pt>
                <c:pt idx="306">
                  <c:v>45233</c:v>
                </c:pt>
                <c:pt idx="307">
                  <c:v>45234</c:v>
                </c:pt>
                <c:pt idx="308">
                  <c:v>45235</c:v>
                </c:pt>
                <c:pt idx="309">
                  <c:v>45236</c:v>
                </c:pt>
                <c:pt idx="310">
                  <c:v>45237</c:v>
                </c:pt>
                <c:pt idx="311">
                  <c:v>45238</c:v>
                </c:pt>
                <c:pt idx="312">
                  <c:v>45239</c:v>
                </c:pt>
                <c:pt idx="313">
                  <c:v>45240</c:v>
                </c:pt>
                <c:pt idx="314">
                  <c:v>45241</c:v>
                </c:pt>
                <c:pt idx="315">
                  <c:v>45242</c:v>
                </c:pt>
                <c:pt idx="316">
                  <c:v>45243</c:v>
                </c:pt>
                <c:pt idx="317">
                  <c:v>45244</c:v>
                </c:pt>
                <c:pt idx="318">
                  <c:v>45245</c:v>
                </c:pt>
                <c:pt idx="319">
                  <c:v>45246</c:v>
                </c:pt>
                <c:pt idx="320">
                  <c:v>45247</c:v>
                </c:pt>
                <c:pt idx="321">
                  <c:v>45248</c:v>
                </c:pt>
                <c:pt idx="322">
                  <c:v>45249</c:v>
                </c:pt>
                <c:pt idx="323">
                  <c:v>45250</c:v>
                </c:pt>
                <c:pt idx="324">
                  <c:v>45251</c:v>
                </c:pt>
                <c:pt idx="325">
                  <c:v>45252</c:v>
                </c:pt>
                <c:pt idx="326">
                  <c:v>45253</c:v>
                </c:pt>
                <c:pt idx="327">
                  <c:v>45254</c:v>
                </c:pt>
                <c:pt idx="328">
                  <c:v>45255</c:v>
                </c:pt>
                <c:pt idx="329">
                  <c:v>45256</c:v>
                </c:pt>
                <c:pt idx="330">
                  <c:v>45257</c:v>
                </c:pt>
                <c:pt idx="331">
                  <c:v>45258</c:v>
                </c:pt>
                <c:pt idx="332">
                  <c:v>45259</c:v>
                </c:pt>
                <c:pt idx="333">
                  <c:v>45260</c:v>
                </c:pt>
                <c:pt idx="334">
                  <c:v>45261</c:v>
                </c:pt>
                <c:pt idx="335">
                  <c:v>45262</c:v>
                </c:pt>
                <c:pt idx="336">
                  <c:v>45263</c:v>
                </c:pt>
                <c:pt idx="337">
                  <c:v>45264</c:v>
                </c:pt>
                <c:pt idx="338">
                  <c:v>45265</c:v>
                </c:pt>
                <c:pt idx="339">
                  <c:v>45266</c:v>
                </c:pt>
                <c:pt idx="340">
                  <c:v>45267</c:v>
                </c:pt>
                <c:pt idx="341">
                  <c:v>45268</c:v>
                </c:pt>
                <c:pt idx="342">
                  <c:v>45269</c:v>
                </c:pt>
                <c:pt idx="343">
                  <c:v>45270</c:v>
                </c:pt>
                <c:pt idx="344">
                  <c:v>45271</c:v>
                </c:pt>
                <c:pt idx="345">
                  <c:v>45272</c:v>
                </c:pt>
                <c:pt idx="346">
                  <c:v>45273</c:v>
                </c:pt>
                <c:pt idx="347">
                  <c:v>45274</c:v>
                </c:pt>
                <c:pt idx="348">
                  <c:v>45275</c:v>
                </c:pt>
                <c:pt idx="349">
                  <c:v>45276</c:v>
                </c:pt>
                <c:pt idx="350">
                  <c:v>45277</c:v>
                </c:pt>
                <c:pt idx="351">
                  <c:v>45278</c:v>
                </c:pt>
                <c:pt idx="352">
                  <c:v>45279</c:v>
                </c:pt>
                <c:pt idx="353">
                  <c:v>45280</c:v>
                </c:pt>
                <c:pt idx="354">
                  <c:v>45281</c:v>
                </c:pt>
                <c:pt idx="355">
                  <c:v>45282</c:v>
                </c:pt>
                <c:pt idx="356">
                  <c:v>45283</c:v>
                </c:pt>
                <c:pt idx="357">
                  <c:v>45284</c:v>
                </c:pt>
                <c:pt idx="358">
                  <c:v>45285</c:v>
                </c:pt>
                <c:pt idx="359">
                  <c:v>45286</c:v>
                </c:pt>
                <c:pt idx="360">
                  <c:v>45287</c:v>
                </c:pt>
                <c:pt idx="361">
                  <c:v>45288</c:v>
                </c:pt>
                <c:pt idx="362">
                  <c:v>45289</c:v>
                </c:pt>
                <c:pt idx="363">
                  <c:v>45290</c:v>
                </c:pt>
                <c:pt idx="364">
                  <c:v>45291</c:v>
                </c:pt>
              </c:numCache>
            </c:numRef>
          </c:cat>
          <c:val>
            <c:numRef>
              <c:f>prova!$D$2:$D$366</c:f>
              <c:numCache>
                <c:formatCode>General</c:formatCode>
                <c:ptCount val="365"/>
                <c:pt idx="0">
                  <c:v>1</c:v>
                </c:pt>
                <c:pt idx="1">
                  <c:v>15</c:v>
                </c:pt>
                <c:pt idx="2">
                  <c:v>74</c:v>
                </c:pt>
                <c:pt idx="3">
                  <c:v>70</c:v>
                </c:pt>
                <c:pt idx="4">
                  <c:v>112</c:v>
                </c:pt>
                <c:pt idx="5">
                  <c:v>14</c:v>
                </c:pt>
                <c:pt idx="6">
                  <c:v>93</c:v>
                </c:pt>
                <c:pt idx="7">
                  <c:v>259</c:v>
                </c:pt>
                <c:pt idx="8">
                  <c:v>38</c:v>
                </c:pt>
                <c:pt idx="9">
                  <c:v>117</c:v>
                </c:pt>
                <c:pt idx="10">
                  <c:v>72</c:v>
                </c:pt>
                <c:pt idx="11">
                  <c:v>96</c:v>
                </c:pt>
                <c:pt idx="12">
                  <c:v>124</c:v>
                </c:pt>
                <c:pt idx="13">
                  <c:v>104</c:v>
                </c:pt>
                <c:pt idx="14">
                  <c:v>343</c:v>
                </c:pt>
                <c:pt idx="15">
                  <c:v>31</c:v>
                </c:pt>
                <c:pt idx="16">
                  <c:v>61</c:v>
                </c:pt>
                <c:pt idx="17">
                  <c:v>62</c:v>
                </c:pt>
                <c:pt idx="18">
                  <c:v>64</c:v>
                </c:pt>
                <c:pt idx="19">
                  <c:v>136</c:v>
                </c:pt>
                <c:pt idx="20">
                  <c:v>92</c:v>
                </c:pt>
                <c:pt idx="21">
                  <c:v>331</c:v>
                </c:pt>
                <c:pt idx="22">
                  <c:v>32</c:v>
                </c:pt>
                <c:pt idx="23">
                  <c:v>70</c:v>
                </c:pt>
                <c:pt idx="24">
                  <c:v>57</c:v>
                </c:pt>
                <c:pt idx="25">
                  <c:v>80</c:v>
                </c:pt>
                <c:pt idx="26">
                  <c:v>136</c:v>
                </c:pt>
                <c:pt idx="27">
                  <c:v>99</c:v>
                </c:pt>
                <c:pt idx="28">
                  <c:v>323</c:v>
                </c:pt>
                <c:pt idx="29">
                  <c:v>30</c:v>
                </c:pt>
                <c:pt idx="30">
                  <c:v>79</c:v>
                </c:pt>
                <c:pt idx="31">
                  <c:v>41</c:v>
                </c:pt>
                <c:pt idx="32">
                  <c:v>140</c:v>
                </c:pt>
                <c:pt idx="33">
                  <c:v>92</c:v>
                </c:pt>
                <c:pt idx="34">
                  <c:v>90</c:v>
                </c:pt>
                <c:pt idx="35">
                  <c:v>283</c:v>
                </c:pt>
                <c:pt idx="36">
                  <c:v>29</c:v>
                </c:pt>
                <c:pt idx="37">
                  <c:v>76</c:v>
                </c:pt>
                <c:pt idx="38">
                  <c:v>47</c:v>
                </c:pt>
                <c:pt idx="39">
                  <c:v>53</c:v>
                </c:pt>
                <c:pt idx="40">
                  <c:v>140</c:v>
                </c:pt>
                <c:pt idx="41">
                  <c:v>105</c:v>
                </c:pt>
                <c:pt idx="42">
                  <c:v>371</c:v>
                </c:pt>
                <c:pt idx="43">
                  <c:v>40</c:v>
                </c:pt>
                <c:pt idx="44">
                  <c:v>330</c:v>
                </c:pt>
                <c:pt idx="45">
                  <c:v>66</c:v>
                </c:pt>
                <c:pt idx="46">
                  <c:v>76</c:v>
                </c:pt>
                <c:pt idx="47">
                  <c:v>91</c:v>
                </c:pt>
                <c:pt idx="48">
                  <c:v>99</c:v>
                </c:pt>
                <c:pt idx="49">
                  <c:v>343</c:v>
                </c:pt>
                <c:pt idx="50">
                  <c:v>60</c:v>
                </c:pt>
                <c:pt idx="51">
                  <c:v>99</c:v>
                </c:pt>
                <c:pt idx="52">
                  <c:v>412</c:v>
                </c:pt>
                <c:pt idx="53">
                  <c:v>91</c:v>
                </c:pt>
                <c:pt idx="54">
                  <c:v>162</c:v>
                </c:pt>
                <c:pt idx="55">
                  <c:v>120</c:v>
                </c:pt>
                <c:pt idx="56">
                  <c:v>419</c:v>
                </c:pt>
                <c:pt idx="57">
                  <c:v>35</c:v>
                </c:pt>
                <c:pt idx="58">
                  <c:v>86</c:v>
                </c:pt>
                <c:pt idx="59">
                  <c:v>63</c:v>
                </c:pt>
                <c:pt idx="60">
                  <c:v>66</c:v>
                </c:pt>
                <c:pt idx="61">
                  <c:v>163</c:v>
                </c:pt>
                <c:pt idx="62">
                  <c:v>126</c:v>
                </c:pt>
                <c:pt idx="63">
                  <c:v>380</c:v>
                </c:pt>
                <c:pt idx="64">
                  <c:v>49</c:v>
                </c:pt>
                <c:pt idx="65">
                  <c:v>86</c:v>
                </c:pt>
                <c:pt idx="66">
                  <c:v>85</c:v>
                </c:pt>
                <c:pt idx="67">
                  <c:v>87</c:v>
                </c:pt>
                <c:pt idx="68">
                  <c:v>164</c:v>
                </c:pt>
                <c:pt idx="69">
                  <c:v>108</c:v>
                </c:pt>
                <c:pt idx="70">
                  <c:v>453</c:v>
                </c:pt>
                <c:pt idx="71">
                  <c:v>39</c:v>
                </c:pt>
                <c:pt idx="72">
                  <c:v>89</c:v>
                </c:pt>
                <c:pt idx="73">
                  <c:v>73</c:v>
                </c:pt>
                <c:pt idx="74">
                  <c:v>102</c:v>
                </c:pt>
                <c:pt idx="75">
                  <c:v>120</c:v>
                </c:pt>
                <c:pt idx="76">
                  <c:v>134</c:v>
                </c:pt>
                <c:pt idx="77">
                  <c:v>561</c:v>
                </c:pt>
                <c:pt idx="78">
                  <c:v>59</c:v>
                </c:pt>
                <c:pt idx="79">
                  <c:v>165</c:v>
                </c:pt>
                <c:pt idx="80">
                  <c:v>88</c:v>
                </c:pt>
                <c:pt idx="81">
                  <c:v>91</c:v>
                </c:pt>
                <c:pt idx="82">
                  <c:v>174</c:v>
                </c:pt>
                <c:pt idx="83">
                  <c:v>171</c:v>
                </c:pt>
                <c:pt idx="84">
                  <c:v>566</c:v>
                </c:pt>
                <c:pt idx="85">
                  <c:v>62</c:v>
                </c:pt>
                <c:pt idx="86">
                  <c:v>108</c:v>
                </c:pt>
                <c:pt idx="87">
                  <c:v>59</c:v>
                </c:pt>
                <c:pt idx="88">
                  <c:v>126</c:v>
                </c:pt>
                <c:pt idx="89">
                  <c:v>169</c:v>
                </c:pt>
                <c:pt idx="90">
                  <c:v>135</c:v>
                </c:pt>
                <c:pt idx="91">
                  <c:v>539</c:v>
                </c:pt>
                <c:pt idx="92">
                  <c:v>73</c:v>
                </c:pt>
                <c:pt idx="93">
                  <c:v>126</c:v>
                </c:pt>
                <c:pt idx="94">
                  <c:v>73</c:v>
                </c:pt>
                <c:pt idx="95">
                  <c:v>92</c:v>
                </c:pt>
                <c:pt idx="96">
                  <c:v>197</c:v>
                </c:pt>
                <c:pt idx="97">
                  <c:v>184</c:v>
                </c:pt>
                <c:pt idx="98">
                  <c:v>634</c:v>
                </c:pt>
                <c:pt idx="99">
                  <c:v>88</c:v>
                </c:pt>
                <c:pt idx="100">
                  <c:v>127</c:v>
                </c:pt>
                <c:pt idx="101">
                  <c:v>80</c:v>
                </c:pt>
                <c:pt idx="102">
                  <c:v>83</c:v>
                </c:pt>
                <c:pt idx="103">
                  <c:v>237</c:v>
                </c:pt>
                <c:pt idx="104">
                  <c:v>153</c:v>
                </c:pt>
                <c:pt idx="105">
                  <c:v>352</c:v>
                </c:pt>
                <c:pt idx="106">
                  <c:v>3</c:v>
                </c:pt>
                <c:pt idx="107">
                  <c:v>10</c:v>
                </c:pt>
                <c:pt idx="108">
                  <c:v>114</c:v>
                </c:pt>
                <c:pt idx="109">
                  <c:v>212</c:v>
                </c:pt>
                <c:pt idx="110">
                  <c:v>260</c:v>
                </c:pt>
                <c:pt idx="111">
                  <c:v>285</c:v>
                </c:pt>
                <c:pt idx="112">
                  <c:v>814</c:v>
                </c:pt>
                <c:pt idx="113">
                  <c:v>184</c:v>
                </c:pt>
                <c:pt idx="114">
                  <c:v>43</c:v>
                </c:pt>
                <c:pt idx="115">
                  <c:v>117</c:v>
                </c:pt>
                <c:pt idx="116">
                  <c:v>174</c:v>
                </c:pt>
                <c:pt idx="117">
                  <c:v>289</c:v>
                </c:pt>
                <c:pt idx="118">
                  <c:v>210</c:v>
                </c:pt>
                <c:pt idx="119">
                  <c:v>817</c:v>
                </c:pt>
                <c:pt idx="120">
                  <c:v>59</c:v>
                </c:pt>
                <c:pt idx="121">
                  <c:v>177</c:v>
                </c:pt>
                <c:pt idx="122">
                  <c:v>108</c:v>
                </c:pt>
                <c:pt idx="123">
                  <c:v>151</c:v>
                </c:pt>
                <c:pt idx="124">
                  <c:v>344</c:v>
                </c:pt>
                <c:pt idx="125">
                  <c:v>289</c:v>
                </c:pt>
                <c:pt idx="126">
                  <c:v>992</c:v>
                </c:pt>
                <c:pt idx="127">
                  <c:v>189</c:v>
                </c:pt>
                <c:pt idx="128">
                  <c:v>148</c:v>
                </c:pt>
                <c:pt idx="129">
                  <c:v>132</c:v>
                </c:pt>
                <c:pt idx="130">
                  <c:v>150</c:v>
                </c:pt>
                <c:pt idx="131">
                  <c:v>320</c:v>
                </c:pt>
                <c:pt idx="132">
                  <c:v>267</c:v>
                </c:pt>
                <c:pt idx="133">
                  <c:v>1101</c:v>
                </c:pt>
                <c:pt idx="134">
                  <c:v>165</c:v>
                </c:pt>
                <c:pt idx="135">
                  <c:v>177</c:v>
                </c:pt>
                <c:pt idx="136">
                  <c:v>74</c:v>
                </c:pt>
                <c:pt idx="137">
                  <c:v>234</c:v>
                </c:pt>
                <c:pt idx="138">
                  <c:v>346</c:v>
                </c:pt>
                <c:pt idx="139">
                  <c:v>463</c:v>
                </c:pt>
                <c:pt idx="140">
                  <c:v>1338</c:v>
                </c:pt>
                <c:pt idx="141">
                  <c:v>301</c:v>
                </c:pt>
                <c:pt idx="142">
                  <c:v>195</c:v>
                </c:pt>
                <c:pt idx="143">
                  <c:v>168</c:v>
                </c:pt>
                <c:pt idx="144">
                  <c:v>276</c:v>
                </c:pt>
                <c:pt idx="145">
                  <c:v>434</c:v>
                </c:pt>
                <c:pt idx="146">
                  <c:v>541</c:v>
                </c:pt>
                <c:pt idx="147">
                  <c:v>1552</c:v>
                </c:pt>
                <c:pt idx="148">
                  <c:v>257</c:v>
                </c:pt>
                <c:pt idx="149">
                  <c:v>246</c:v>
                </c:pt>
                <c:pt idx="150">
                  <c:v>199</c:v>
                </c:pt>
                <c:pt idx="151">
                  <c:v>526</c:v>
                </c:pt>
                <c:pt idx="152">
                  <c:v>164</c:v>
                </c:pt>
                <c:pt idx="153">
                  <c:v>698</c:v>
                </c:pt>
                <c:pt idx="154">
                  <c:v>1504</c:v>
                </c:pt>
                <c:pt idx="155">
                  <c:v>277</c:v>
                </c:pt>
                <c:pt idx="156">
                  <c:v>249</c:v>
                </c:pt>
                <c:pt idx="157">
                  <c:v>208</c:v>
                </c:pt>
                <c:pt idx="158">
                  <c:v>300</c:v>
                </c:pt>
                <c:pt idx="159">
                  <c:v>433</c:v>
                </c:pt>
                <c:pt idx="160">
                  <c:v>581</c:v>
                </c:pt>
                <c:pt idx="161">
                  <c:v>1450</c:v>
                </c:pt>
                <c:pt idx="162">
                  <c:v>305</c:v>
                </c:pt>
                <c:pt idx="163">
                  <c:v>220</c:v>
                </c:pt>
                <c:pt idx="164">
                  <c:v>200</c:v>
                </c:pt>
                <c:pt idx="165">
                  <c:v>320</c:v>
                </c:pt>
                <c:pt idx="166">
                  <c:v>579</c:v>
                </c:pt>
                <c:pt idx="167">
                  <c:v>480</c:v>
                </c:pt>
                <c:pt idx="168">
                  <c:v>1819</c:v>
                </c:pt>
                <c:pt idx="169">
                  <c:v>333</c:v>
                </c:pt>
                <c:pt idx="170">
                  <c:v>318</c:v>
                </c:pt>
                <c:pt idx="171">
                  <c:v>272</c:v>
                </c:pt>
                <c:pt idx="172">
                  <c:v>345</c:v>
                </c:pt>
                <c:pt idx="173">
                  <c:v>549</c:v>
                </c:pt>
                <c:pt idx="174">
                  <c:v>722</c:v>
                </c:pt>
                <c:pt idx="175">
                  <c:v>1816</c:v>
                </c:pt>
                <c:pt idx="176">
                  <c:v>378</c:v>
                </c:pt>
                <c:pt idx="177">
                  <c:v>256</c:v>
                </c:pt>
                <c:pt idx="178">
                  <c:v>209</c:v>
                </c:pt>
                <c:pt idx="179">
                  <c:v>280</c:v>
                </c:pt>
                <c:pt idx="180">
                  <c:v>503</c:v>
                </c:pt>
                <c:pt idx="181">
                  <c:v>546</c:v>
                </c:pt>
                <c:pt idx="182">
                  <c:v>1371</c:v>
                </c:pt>
                <c:pt idx="183">
                  <c:v>277</c:v>
                </c:pt>
                <c:pt idx="184">
                  <c:v>264</c:v>
                </c:pt>
                <c:pt idx="185">
                  <c:v>156</c:v>
                </c:pt>
                <c:pt idx="186">
                  <c:v>253</c:v>
                </c:pt>
                <c:pt idx="187">
                  <c:v>513</c:v>
                </c:pt>
                <c:pt idx="188">
                  <c:v>499</c:v>
                </c:pt>
                <c:pt idx="189">
                  <c:v>1248</c:v>
                </c:pt>
                <c:pt idx="190">
                  <c:v>249</c:v>
                </c:pt>
                <c:pt idx="191">
                  <c:v>227</c:v>
                </c:pt>
                <c:pt idx="192">
                  <c:v>163</c:v>
                </c:pt>
                <c:pt idx="193">
                  <c:v>212</c:v>
                </c:pt>
                <c:pt idx="194">
                  <c:v>443</c:v>
                </c:pt>
                <c:pt idx="195">
                  <c:v>465</c:v>
                </c:pt>
                <c:pt idx="196">
                  <c:v>1206</c:v>
                </c:pt>
                <c:pt idx="197">
                  <c:v>153</c:v>
                </c:pt>
                <c:pt idx="198">
                  <c:v>210</c:v>
                </c:pt>
                <c:pt idx="199">
                  <c:v>158</c:v>
                </c:pt>
                <c:pt idx="200">
                  <c:v>249</c:v>
                </c:pt>
                <c:pt idx="201">
                  <c:v>392</c:v>
                </c:pt>
                <c:pt idx="202">
                  <c:v>463</c:v>
                </c:pt>
                <c:pt idx="203">
                  <c:v>1174</c:v>
                </c:pt>
                <c:pt idx="204">
                  <c:v>218</c:v>
                </c:pt>
                <c:pt idx="205">
                  <c:v>241</c:v>
                </c:pt>
                <c:pt idx="206">
                  <c:v>196</c:v>
                </c:pt>
                <c:pt idx="207">
                  <c:v>263</c:v>
                </c:pt>
                <c:pt idx="208">
                  <c:v>468</c:v>
                </c:pt>
                <c:pt idx="209">
                  <c:v>450</c:v>
                </c:pt>
                <c:pt idx="210">
                  <c:v>1128</c:v>
                </c:pt>
                <c:pt idx="211">
                  <c:v>191</c:v>
                </c:pt>
                <c:pt idx="212">
                  <c:v>192</c:v>
                </c:pt>
                <c:pt idx="213">
                  <c:v>140</c:v>
                </c:pt>
                <c:pt idx="214">
                  <c:v>178</c:v>
                </c:pt>
                <c:pt idx="215">
                  <c:v>326</c:v>
                </c:pt>
                <c:pt idx="216">
                  <c:v>306</c:v>
                </c:pt>
                <c:pt idx="217">
                  <c:v>785</c:v>
                </c:pt>
                <c:pt idx="218">
                  <c:v>141</c:v>
                </c:pt>
                <c:pt idx="219">
                  <c:v>206</c:v>
                </c:pt>
                <c:pt idx="220">
                  <c:v>145</c:v>
                </c:pt>
                <c:pt idx="221">
                  <c:v>248</c:v>
                </c:pt>
                <c:pt idx="222">
                  <c:v>235</c:v>
                </c:pt>
                <c:pt idx="223">
                  <c:v>221</c:v>
                </c:pt>
                <c:pt idx="224">
                  <c:v>334</c:v>
                </c:pt>
                <c:pt idx="225">
                  <c:v>65</c:v>
                </c:pt>
                <c:pt idx="226">
                  <c:v>7</c:v>
                </c:pt>
                <c:pt idx="227">
                  <c:v>99</c:v>
                </c:pt>
                <c:pt idx="228">
                  <c:v>105</c:v>
                </c:pt>
                <c:pt idx="229">
                  <c:v>304</c:v>
                </c:pt>
                <c:pt idx="230">
                  <c:v>199</c:v>
                </c:pt>
                <c:pt idx="231">
                  <c:v>596</c:v>
                </c:pt>
                <c:pt idx="232">
                  <c:v>136</c:v>
                </c:pt>
                <c:pt idx="233">
                  <c:v>230</c:v>
                </c:pt>
                <c:pt idx="234">
                  <c:v>134</c:v>
                </c:pt>
                <c:pt idx="235">
                  <c:v>189</c:v>
                </c:pt>
                <c:pt idx="236">
                  <c:v>401</c:v>
                </c:pt>
                <c:pt idx="237">
                  <c:v>463</c:v>
                </c:pt>
                <c:pt idx="238">
                  <c:v>1084</c:v>
                </c:pt>
                <c:pt idx="239">
                  <c:v>283</c:v>
                </c:pt>
                <c:pt idx="240">
                  <c:v>256</c:v>
                </c:pt>
                <c:pt idx="241">
                  <c:v>203</c:v>
                </c:pt>
                <c:pt idx="242">
                  <c:v>260</c:v>
                </c:pt>
                <c:pt idx="243">
                  <c:v>635</c:v>
                </c:pt>
                <c:pt idx="244">
                  <c:v>724</c:v>
                </c:pt>
                <c:pt idx="245">
                  <c:v>1964</c:v>
                </c:pt>
                <c:pt idx="246">
                  <c:v>425</c:v>
                </c:pt>
                <c:pt idx="247">
                  <c:v>328</c:v>
                </c:pt>
                <c:pt idx="248">
                  <c:v>241</c:v>
                </c:pt>
                <c:pt idx="249">
                  <c:v>359</c:v>
                </c:pt>
                <c:pt idx="250">
                  <c:v>634</c:v>
                </c:pt>
                <c:pt idx="251">
                  <c:v>768</c:v>
                </c:pt>
                <c:pt idx="252">
                  <c:v>1965</c:v>
                </c:pt>
                <c:pt idx="253">
                  <c:v>356</c:v>
                </c:pt>
                <c:pt idx="254">
                  <c:v>279</c:v>
                </c:pt>
                <c:pt idx="255">
                  <c:v>204</c:v>
                </c:pt>
                <c:pt idx="256">
                  <c:v>295</c:v>
                </c:pt>
                <c:pt idx="257">
                  <c:v>494</c:v>
                </c:pt>
                <c:pt idx="258">
                  <c:v>594</c:v>
                </c:pt>
                <c:pt idx="259">
                  <c:v>1440</c:v>
                </c:pt>
                <c:pt idx="260">
                  <c:v>398</c:v>
                </c:pt>
                <c:pt idx="261">
                  <c:v>209</c:v>
                </c:pt>
                <c:pt idx="262">
                  <c:v>178</c:v>
                </c:pt>
                <c:pt idx="263">
                  <c:v>269</c:v>
                </c:pt>
                <c:pt idx="264">
                  <c:v>529</c:v>
                </c:pt>
                <c:pt idx="265">
                  <c:v>492</c:v>
                </c:pt>
                <c:pt idx="266">
                  <c:v>1515</c:v>
                </c:pt>
                <c:pt idx="267">
                  <c:v>291</c:v>
                </c:pt>
                <c:pt idx="268">
                  <c:v>157</c:v>
                </c:pt>
                <c:pt idx="269">
                  <c:v>163</c:v>
                </c:pt>
                <c:pt idx="270">
                  <c:v>243</c:v>
                </c:pt>
                <c:pt idx="271">
                  <c:v>412</c:v>
                </c:pt>
                <c:pt idx="272">
                  <c:v>456</c:v>
                </c:pt>
                <c:pt idx="273">
                  <c:v>1308</c:v>
                </c:pt>
                <c:pt idx="274">
                  <c:v>240</c:v>
                </c:pt>
                <c:pt idx="275">
                  <c:v>183</c:v>
                </c:pt>
                <c:pt idx="276">
                  <c:v>170</c:v>
                </c:pt>
                <c:pt idx="277">
                  <c:v>218</c:v>
                </c:pt>
                <c:pt idx="278">
                  <c:v>321</c:v>
                </c:pt>
                <c:pt idx="279">
                  <c:v>338</c:v>
                </c:pt>
                <c:pt idx="280">
                  <c:v>1089</c:v>
                </c:pt>
                <c:pt idx="281">
                  <c:v>170</c:v>
                </c:pt>
                <c:pt idx="282">
                  <c:v>167</c:v>
                </c:pt>
                <c:pt idx="283">
                  <c:v>105</c:v>
                </c:pt>
                <c:pt idx="284">
                  <c:v>177</c:v>
                </c:pt>
                <c:pt idx="285">
                  <c:v>228</c:v>
                </c:pt>
                <c:pt idx="286">
                  <c:v>275</c:v>
                </c:pt>
                <c:pt idx="287">
                  <c:v>889</c:v>
                </c:pt>
                <c:pt idx="288">
                  <c:v>153</c:v>
                </c:pt>
                <c:pt idx="289">
                  <c:v>106</c:v>
                </c:pt>
                <c:pt idx="290">
                  <c:v>109</c:v>
                </c:pt>
                <c:pt idx="291">
                  <c:v>149</c:v>
                </c:pt>
                <c:pt idx="292">
                  <c:v>310</c:v>
                </c:pt>
                <c:pt idx="293">
                  <c:v>221</c:v>
                </c:pt>
                <c:pt idx="294">
                  <c:v>955</c:v>
                </c:pt>
                <c:pt idx="295">
                  <c:v>129</c:v>
                </c:pt>
                <c:pt idx="296">
                  <c:v>142</c:v>
                </c:pt>
                <c:pt idx="297">
                  <c:v>100</c:v>
                </c:pt>
                <c:pt idx="298">
                  <c:v>166</c:v>
                </c:pt>
                <c:pt idx="299">
                  <c:v>281</c:v>
                </c:pt>
                <c:pt idx="300">
                  <c:v>258</c:v>
                </c:pt>
                <c:pt idx="301">
                  <c:v>698</c:v>
                </c:pt>
                <c:pt idx="302">
                  <c:v>107</c:v>
                </c:pt>
                <c:pt idx="303">
                  <c:v>154</c:v>
                </c:pt>
                <c:pt idx="304">
                  <c:v>4</c:v>
                </c:pt>
                <c:pt idx="305">
                  <c:v>27</c:v>
                </c:pt>
                <c:pt idx="306">
                  <c:v>157</c:v>
                </c:pt>
                <c:pt idx="307">
                  <c:v>113</c:v>
                </c:pt>
                <c:pt idx="308">
                  <c:v>394</c:v>
                </c:pt>
                <c:pt idx="309">
                  <c:v>40</c:v>
                </c:pt>
                <c:pt idx="310">
                  <c:v>94</c:v>
                </c:pt>
                <c:pt idx="311">
                  <c:v>87</c:v>
                </c:pt>
                <c:pt idx="312">
                  <c:v>83</c:v>
                </c:pt>
                <c:pt idx="313">
                  <c:v>185</c:v>
                </c:pt>
                <c:pt idx="314">
                  <c:v>169</c:v>
                </c:pt>
                <c:pt idx="315">
                  <c:v>443</c:v>
                </c:pt>
                <c:pt idx="316">
                  <c:v>47</c:v>
                </c:pt>
                <c:pt idx="317">
                  <c:v>90</c:v>
                </c:pt>
                <c:pt idx="318">
                  <c:v>65</c:v>
                </c:pt>
                <c:pt idx="319">
                  <c:v>105</c:v>
                </c:pt>
                <c:pt idx="320">
                  <c:v>120</c:v>
                </c:pt>
                <c:pt idx="321">
                  <c:v>115</c:v>
                </c:pt>
                <c:pt idx="322">
                  <c:v>395</c:v>
                </c:pt>
                <c:pt idx="323">
                  <c:v>65</c:v>
                </c:pt>
                <c:pt idx="324">
                  <c:v>93</c:v>
                </c:pt>
                <c:pt idx="325">
                  <c:v>101</c:v>
                </c:pt>
                <c:pt idx="326">
                  <c:v>91</c:v>
                </c:pt>
                <c:pt idx="327">
                  <c:v>154</c:v>
                </c:pt>
                <c:pt idx="328">
                  <c:v>119</c:v>
                </c:pt>
                <c:pt idx="329">
                  <c:v>459</c:v>
                </c:pt>
                <c:pt idx="330">
                  <c:v>46</c:v>
                </c:pt>
                <c:pt idx="331">
                  <c:v>90</c:v>
                </c:pt>
                <c:pt idx="332">
                  <c:v>77</c:v>
                </c:pt>
                <c:pt idx="333">
                  <c:v>94</c:v>
                </c:pt>
                <c:pt idx="334">
                  <c:v>265</c:v>
                </c:pt>
                <c:pt idx="335">
                  <c:v>183</c:v>
                </c:pt>
                <c:pt idx="336">
                  <c:v>621</c:v>
                </c:pt>
                <c:pt idx="337">
                  <c:v>84</c:v>
                </c:pt>
                <c:pt idx="338">
                  <c:v>139</c:v>
                </c:pt>
                <c:pt idx="339">
                  <c:v>125</c:v>
                </c:pt>
                <c:pt idx="340">
                  <c:v>251</c:v>
                </c:pt>
                <c:pt idx="341">
                  <c:v>113</c:v>
                </c:pt>
                <c:pt idx="342">
                  <c:v>196</c:v>
                </c:pt>
                <c:pt idx="343">
                  <c:v>750</c:v>
                </c:pt>
                <c:pt idx="344">
                  <c:v>103</c:v>
                </c:pt>
                <c:pt idx="345">
                  <c:v>188</c:v>
                </c:pt>
                <c:pt idx="346">
                  <c:v>127</c:v>
                </c:pt>
                <c:pt idx="347">
                  <c:v>141</c:v>
                </c:pt>
                <c:pt idx="348">
                  <c:v>326</c:v>
                </c:pt>
                <c:pt idx="349">
                  <c:v>243</c:v>
                </c:pt>
                <c:pt idx="350">
                  <c:v>639</c:v>
                </c:pt>
                <c:pt idx="351">
                  <c:v>156</c:v>
                </c:pt>
                <c:pt idx="352">
                  <c:v>169</c:v>
                </c:pt>
                <c:pt idx="353">
                  <c:v>129</c:v>
                </c:pt>
                <c:pt idx="354">
                  <c:v>193</c:v>
                </c:pt>
                <c:pt idx="355">
                  <c:v>336</c:v>
                </c:pt>
                <c:pt idx="356">
                  <c:v>210</c:v>
                </c:pt>
                <c:pt idx="357">
                  <c:v>98</c:v>
                </c:pt>
                <c:pt idx="358">
                  <c:v>5</c:v>
                </c:pt>
                <c:pt idx="359">
                  <c:v>14</c:v>
                </c:pt>
                <c:pt idx="360">
                  <c:v>150</c:v>
                </c:pt>
                <c:pt idx="361">
                  <c:v>265</c:v>
                </c:pt>
                <c:pt idx="362">
                  <c:v>262</c:v>
                </c:pt>
                <c:pt idx="363">
                  <c:v>146</c:v>
                </c:pt>
                <c:pt idx="364">
                  <c:v>101</c:v>
                </c:pt>
              </c:numCache>
            </c:numRef>
          </c:val>
          <c:extLst>
            <c:ext xmlns:c16="http://schemas.microsoft.com/office/drawing/2014/chart" uri="{C3380CC4-5D6E-409C-BE32-E72D297353CC}">
              <c16:uniqueId val="{00000001-4A36-453D-90B7-82B67B1F1D78}"/>
            </c:ext>
          </c:extLst>
        </c:ser>
        <c:dLbls>
          <c:showLegendKey val="0"/>
          <c:showVal val="0"/>
          <c:showCatName val="0"/>
          <c:showSerName val="0"/>
          <c:showPercent val="0"/>
          <c:showBubbleSize val="0"/>
        </c:dLbls>
        <c:gapWidth val="150"/>
        <c:overlap val="100"/>
        <c:axId val="1099587839"/>
        <c:axId val="1099613631"/>
      </c:barChart>
      <c:dateAx>
        <c:axId val="1099587839"/>
        <c:scaling>
          <c:orientation val="minMax"/>
        </c:scaling>
        <c:delete val="0"/>
        <c:axPos val="b"/>
        <c:majorGridlines>
          <c:spPr>
            <a:ln w="3175" cap="flat" cmpd="sng" algn="ctr">
              <a:solidFill>
                <a:schemeClr val="bg1"/>
              </a:solidFill>
              <a:round/>
            </a:ln>
            <a:effectLst/>
          </c:spPr>
        </c:majorGridlines>
        <c:numFmt formatCode="[$-410]d\-mmm;@" sourceLinked="1"/>
        <c:majorTickMark val="out"/>
        <c:minorTickMark val="none"/>
        <c:tickLblPos val="nextTo"/>
        <c:spPr>
          <a:noFill/>
          <a:ln w="12700"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it-IT"/>
          </a:p>
        </c:txPr>
        <c:crossAx val="1099613631"/>
        <c:crosses val="autoZero"/>
        <c:auto val="1"/>
        <c:lblOffset val="100"/>
        <c:baseTimeUnit val="days"/>
        <c:majorUnit val="7"/>
        <c:majorTimeUnit val="days"/>
        <c:minorUnit val="7"/>
        <c:minorTimeUnit val="days"/>
      </c:dateAx>
      <c:valAx>
        <c:axId val="1099613631"/>
        <c:scaling>
          <c:orientation val="minMax"/>
        </c:scaling>
        <c:delete val="0"/>
        <c:axPos val="l"/>
        <c:majorGridlines>
          <c:spPr>
            <a:ln w="3175" cap="flat" cmpd="sng" algn="ctr">
              <a:solidFill>
                <a:schemeClr val="bg1"/>
              </a:solidFill>
              <a:round/>
            </a:ln>
            <a:effectLst/>
          </c:spPr>
        </c:majorGridlines>
        <c:numFmt formatCode="General" sourceLinked="1"/>
        <c:majorTickMark val="out"/>
        <c:minorTickMark val="none"/>
        <c:tickLblPos val="nextTo"/>
        <c:spPr>
          <a:noFill/>
          <a:ln w="12700">
            <a:solidFill>
              <a:schemeClr val="bg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it-IT"/>
          </a:p>
        </c:txPr>
        <c:crossAx val="1099587839"/>
        <c:crosses val="autoZero"/>
        <c:crossBetween val="between"/>
      </c:valAx>
      <c:spPr>
        <a:noFill/>
        <a:ln>
          <a:noFill/>
        </a:ln>
        <a:effectLst/>
      </c:spPr>
    </c:plotArea>
    <c:legend>
      <c:legendPos val="t"/>
      <c:layout>
        <c:manualLayout>
          <c:xMode val="edge"/>
          <c:yMode val="edge"/>
          <c:x val="0.34711993526551155"/>
          <c:y val="0"/>
          <c:w val="0.3057601294689769"/>
          <c:h val="9.20635778896736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it-IT"/>
        </a:p>
      </c:txPr>
    </c:legend>
    <c:plotVisOnly val="1"/>
    <c:dispBlanksAs val="gap"/>
    <c:showDLblsOverMax val="0"/>
  </c:chart>
  <c:spPr>
    <a:noFill/>
    <a:ln w="9525" cap="flat" cmpd="sng" algn="ctr">
      <a:noFill/>
      <a:round/>
    </a:ln>
    <a:effectLst/>
  </c:spPr>
  <c:txPr>
    <a:bodyPr/>
    <a:lstStyle/>
    <a:p>
      <a:pPr>
        <a:defRPr sz="800">
          <a:latin typeface="Arial Narrow" panose="020B0606020202030204" pitchFamily="34" charset="0"/>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a:latin typeface="Arial" panose="020B0604020202020204" pitchFamily="34" charset="0"/>
                <a:cs typeface="Arial" panose="020B0604020202020204" pitchFamily="34" charset="0"/>
              </a:defRPr>
            </a:pPr>
            <a:r>
              <a:rPr lang="it-IT" sz="700">
                <a:latin typeface="Arial" panose="020B0604020202020204" pitchFamily="34" charset="0"/>
                <a:cs typeface="Arial" panose="020B0604020202020204" pitchFamily="34" charset="0"/>
              </a:rPr>
              <a:t>Sposi                                               </a:t>
            </a:r>
            <a:r>
              <a:rPr lang="it-IT" sz="700" baseline="0">
                <a:latin typeface="Arial" panose="020B0604020202020204" pitchFamily="34" charset="0"/>
                <a:cs typeface="Arial" panose="020B0604020202020204" pitchFamily="34" charset="0"/>
              </a:rPr>
              <a:t>     </a:t>
            </a:r>
            <a:r>
              <a:rPr lang="it-IT" sz="700">
                <a:latin typeface="Arial" panose="020B0604020202020204" pitchFamily="34" charset="0"/>
                <a:cs typeface="Arial" panose="020B0604020202020204" pitchFamily="34" charset="0"/>
              </a:rPr>
              <a:t> Spose</a:t>
            </a:r>
          </a:p>
        </c:rich>
      </c:tx>
      <c:layout>
        <c:manualLayout>
          <c:xMode val="edge"/>
          <c:yMode val="edge"/>
          <c:x val="0.22538762987036592"/>
          <c:y val="0.92698009240073065"/>
        </c:manualLayout>
      </c:layout>
      <c:overlay val="0"/>
    </c:title>
    <c:autoTitleDeleted val="0"/>
    <c:plotArea>
      <c:layout>
        <c:manualLayout>
          <c:layoutTarget val="inner"/>
          <c:xMode val="edge"/>
          <c:yMode val="edge"/>
          <c:x val="4.0627616736192369E-2"/>
          <c:y val="0.13233819910442229"/>
          <c:w val="0.85191952852429409"/>
          <c:h val="0.68098084949033688"/>
        </c:manualLayout>
      </c:layout>
      <c:barChart>
        <c:barDir val="col"/>
        <c:grouping val="stacked"/>
        <c:varyColors val="0"/>
        <c:ser>
          <c:idx val="1"/>
          <c:order val="0"/>
          <c:tx>
            <c:strRef>
              <c:f>'6'!$A$44</c:f>
              <c:strCache>
                <c:ptCount val="1"/>
                <c:pt idx="0">
                  <c:v>Fino a 29 anni</c:v>
                </c:pt>
              </c:strCache>
            </c:strRef>
          </c:tx>
          <c:spPr>
            <a:solidFill>
              <a:schemeClr val="bg1">
                <a:lumMod val="50000"/>
              </a:schemeClr>
            </a:solidFill>
          </c:spPr>
          <c:invertIfNegative val="0"/>
          <c:cat>
            <c:numRef>
              <c:f>('6'!$B$2:$G$2,'6'!$N$2:$R$2)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('6'!$B$44:$G$44,'6'!$N$44:$R$44)</c:f>
              <c:numCache>
                <c:formatCode>#,##0.0</c:formatCode>
                <c:ptCount val="11"/>
                <c:pt idx="0">
                  <c:v>19.933291789680148</c:v>
                </c:pt>
                <c:pt idx="1">
                  <c:v>19.123462691756117</c:v>
                </c:pt>
                <c:pt idx="2">
                  <c:v>17.339763116861658</c:v>
                </c:pt>
                <c:pt idx="3">
                  <c:v>15.952576268180204</c:v>
                </c:pt>
                <c:pt idx="4">
                  <c:v>14.643650206196469</c:v>
                </c:pt>
                <c:pt idx="6">
                  <c:v>34.111595787064942</c:v>
                </c:pt>
                <c:pt idx="7">
                  <c:v>32.476315675111906</c:v>
                </c:pt>
                <c:pt idx="8">
                  <c:v>28.758480395700168</c:v>
                </c:pt>
                <c:pt idx="9">
                  <c:v>29.005742284498048</c:v>
                </c:pt>
                <c:pt idx="10">
                  <c:v>26.391033097176695</c:v>
                </c:pt>
              </c:numCache>
            </c:numRef>
          </c:val>
          <c:extLst>
            <c:ext xmlns:c16="http://schemas.microsoft.com/office/drawing/2014/chart" uri="{C3380CC4-5D6E-409C-BE32-E72D297353CC}">
              <c16:uniqueId val="{00000000-4E74-4A41-8BFA-431423421E2C}"/>
            </c:ext>
          </c:extLst>
        </c:ser>
        <c:ser>
          <c:idx val="2"/>
          <c:order val="1"/>
          <c:tx>
            <c:strRef>
              <c:f>'6'!$A$45</c:f>
              <c:strCache>
                <c:ptCount val="1"/>
                <c:pt idx="0">
                  <c:v>30-39 anni</c:v>
                </c:pt>
              </c:strCache>
            </c:strRef>
          </c:tx>
          <c:spPr>
            <a:solidFill>
              <a:srgbClr val="E42618"/>
            </a:solidFill>
          </c:spPr>
          <c:invertIfNegative val="0"/>
          <c:cat>
            <c:numRef>
              <c:f>('6'!$B$2:$G$2,'6'!$N$2:$R$2)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('6'!$B$45:$G$45,'6'!$N$45:$R$45)</c:f>
              <c:numCache>
                <c:formatCode>#,##0.0</c:formatCode>
                <c:ptCount val="11"/>
                <c:pt idx="0">
                  <c:v>46.399493303639836</c:v>
                </c:pt>
                <c:pt idx="1">
                  <c:v>45.758550258571987</c:v>
                </c:pt>
                <c:pt idx="2">
                  <c:v>39.065065416507473</c:v>
                </c:pt>
                <c:pt idx="3">
                  <c:v>48.481841965235901</c:v>
                </c:pt>
                <c:pt idx="4">
                  <c:v>46.575552500793066</c:v>
                </c:pt>
                <c:pt idx="6">
                  <c:v>41.205344829347531</c:v>
                </c:pt>
                <c:pt idx="7">
                  <c:v>41.466037981834774</c:v>
                </c:pt>
                <c:pt idx="8">
                  <c:v>37.129934635123554</c:v>
                </c:pt>
                <c:pt idx="9">
                  <c:v>44.416238027669387</c:v>
                </c:pt>
                <c:pt idx="10">
                  <c:v>43.869091678122025</c:v>
                </c:pt>
              </c:numCache>
            </c:numRef>
          </c:val>
          <c:extLst>
            <c:ext xmlns:c16="http://schemas.microsoft.com/office/drawing/2014/chart" uri="{C3380CC4-5D6E-409C-BE32-E72D297353CC}">
              <c16:uniqueId val="{00000001-4E74-4A41-8BFA-431423421E2C}"/>
            </c:ext>
          </c:extLst>
        </c:ser>
        <c:ser>
          <c:idx val="3"/>
          <c:order val="2"/>
          <c:tx>
            <c:strRef>
              <c:f>'6'!$A$46</c:f>
              <c:strCache>
                <c:ptCount val="1"/>
                <c:pt idx="0">
                  <c:v>40-49 anni</c:v>
                </c:pt>
              </c:strCache>
            </c:strRef>
          </c:tx>
          <c:spPr>
            <a:solidFill>
              <a:srgbClr val="92D050"/>
            </a:solidFill>
          </c:spPr>
          <c:invertIfNegative val="0"/>
          <c:cat>
            <c:numRef>
              <c:f>('6'!$B$2:$G$2,'6'!$N$2:$R$2)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('6'!$B$46:$G$46,'6'!$N$46:$S$46)</c:f>
              <c:numCache>
                <c:formatCode>#,##0.0</c:formatCode>
                <c:ptCount val="12"/>
                <c:pt idx="0">
                  <c:v>18.313089315449133</c:v>
                </c:pt>
                <c:pt idx="1">
                  <c:v>18.696492981617489</c:v>
                </c:pt>
                <c:pt idx="2">
                  <c:v>19.735442632769178</c:v>
                </c:pt>
                <c:pt idx="3">
                  <c:v>17.973461333806316</c:v>
                </c:pt>
                <c:pt idx="4">
                  <c:v>19.305276514750975</c:v>
                </c:pt>
                <c:pt idx="6">
                  <c:v>15.217235848767482</c:v>
                </c:pt>
                <c:pt idx="7">
                  <c:v>15.658272130720091</c:v>
                </c:pt>
                <c:pt idx="8">
                  <c:v>18.051238628266951</c:v>
                </c:pt>
                <c:pt idx="9">
                  <c:v>14.798022348350479</c:v>
                </c:pt>
                <c:pt idx="10">
                  <c:v>16.588241514222268</c:v>
                </c:pt>
              </c:numCache>
            </c:numRef>
          </c:val>
          <c:extLst>
            <c:ext xmlns:c16="http://schemas.microsoft.com/office/drawing/2014/chart" uri="{C3380CC4-5D6E-409C-BE32-E72D297353CC}">
              <c16:uniqueId val="{00000002-4E74-4A41-8BFA-431423421E2C}"/>
            </c:ext>
          </c:extLst>
        </c:ser>
        <c:ser>
          <c:idx val="4"/>
          <c:order val="3"/>
          <c:tx>
            <c:strRef>
              <c:f>'6'!$A$47</c:f>
              <c:strCache>
                <c:ptCount val="1"/>
                <c:pt idx="0">
                  <c:v>50-59 anni</c:v>
                </c:pt>
              </c:strCache>
            </c:strRef>
          </c:tx>
          <c:spPr>
            <a:solidFill>
              <a:srgbClr val="7030A0"/>
            </a:solidFill>
          </c:spPr>
          <c:invertIfNegative val="0"/>
          <c:cat>
            <c:numRef>
              <c:f>('6'!$B$2:$G$2,'6'!$N$2:$R$2)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('6'!$B$47:$G$47,'6'!$N$47:$R$47)</c:f>
              <c:numCache>
                <c:formatCode>#,##0.0</c:formatCode>
                <c:ptCount val="11"/>
                <c:pt idx="0">
                  <c:v>9.3228044009030633</c:v>
                </c:pt>
                <c:pt idx="1">
                  <c:v>9.9115640345921516</c:v>
                </c:pt>
                <c:pt idx="2">
                  <c:v>13.231998843465062</c:v>
                </c:pt>
                <c:pt idx="3">
                  <c:v>10.388213905640297</c:v>
                </c:pt>
                <c:pt idx="4">
                  <c:v>11.769059955588453</c:v>
                </c:pt>
                <c:pt idx="6">
                  <c:v>7.1851791314652314</c:v>
                </c:pt>
                <c:pt idx="7">
                  <c:v>7.8777541175959325</c:v>
                </c:pt>
                <c:pt idx="8">
                  <c:v>11.611817308784502</c:v>
                </c:pt>
                <c:pt idx="9">
                  <c:v>8.6538887903511892</c:v>
                </c:pt>
                <c:pt idx="10">
                  <c:v>9.6743153219837161</c:v>
                </c:pt>
              </c:numCache>
            </c:numRef>
          </c:val>
          <c:extLst>
            <c:ext xmlns:c16="http://schemas.microsoft.com/office/drawing/2014/chart" uri="{C3380CC4-5D6E-409C-BE32-E72D297353CC}">
              <c16:uniqueId val="{00000003-4E74-4A41-8BFA-431423421E2C}"/>
            </c:ext>
          </c:extLst>
        </c:ser>
        <c:ser>
          <c:idx val="5"/>
          <c:order val="4"/>
          <c:tx>
            <c:strRef>
              <c:f>'6'!$A$48</c:f>
              <c:strCache>
                <c:ptCount val="1"/>
                <c:pt idx="0">
                  <c:v>60+</c:v>
                </c:pt>
              </c:strCache>
            </c:strRef>
          </c:tx>
          <c:spPr>
            <a:solidFill>
              <a:srgbClr val="1F497D"/>
            </a:solidFill>
          </c:spPr>
          <c:invertIfNegative val="0"/>
          <c:cat>
            <c:numRef>
              <c:f>('6'!$B$2:$G$2,'6'!$N$2:$R$2)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('6'!$B$48:$G$48,'6'!$N$48:$R$48)</c:f>
              <c:numCache>
                <c:formatCode>#,##0.0</c:formatCode>
                <c:ptCount val="11"/>
                <c:pt idx="0">
                  <c:v>6.0313211903278203</c:v>
                </c:pt>
                <c:pt idx="1">
                  <c:v>6.5099300334622576</c:v>
                </c:pt>
                <c:pt idx="2">
                  <c:v>10.627729990396629</c:v>
                </c:pt>
                <c:pt idx="3">
                  <c:v>7.2039065271372831</c:v>
                </c:pt>
                <c:pt idx="4">
                  <c:v>7.7064608226710378</c:v>
                </c:pt>
                <c:pt idx="6">
                  <c:v>2.2806444033548203</c:v>
                </c:pt>
                <c:pt idx="7">
                  <c:v>2.5216200947372998</c:v>
                </c:pt>
                <c:pt idx="8">
                  <c:v>4.4485290321248234</c:v>
                </c:pt>
                <c:pt idx="9">
                  <c:v>3.1261085491308975</c:v>
                </c:pt>
                <c:pt idx="10">
                  <c:v>3.4773183884952945</c:v>
                </c:pt>
              </c:numCache>
            </c:numRef>
          </c:val>
          <c:extLst>
            <c:ext xmlns:c16="http://schemas.microsoft.com/office/drawing/2014/chart" uri="{C3380CC4-5D6E-409C-BE32-E72D297353CC}">
              <c16:uniqueId val="{00000004-4E74-4A41-8BFA-431423421E2C}"/>
            </c:ext>
          </c:extLst>
        </c:ser>
        <c:dLbls>
          <c:showLegendKey val="0"/>
          <c:showVal val="0"/>
          <c:showCatName val="0"/>
          <c:showSerName val="0"/>
          <c:showPercent val="0"/>
          <c:showBubbleSize val="0"/>
        </c:dLbls>
        <c:gapWidth val="80"/>
        <c:overlap val="100"/>
        <c:axId val="120486672"/>
        <c:axId val="120487216"/>
      </c:barChart>
      <c:catAx>
        <c:axId val="120486672"/>
        <c:scaling>
          <c:orientation val="minMax"/>
        </c:scaling>
        <c:delete val="0"/>
        <c:axPos val="b"/>
        <c:majorGridlines>
          <c:spPr>
            <a:ln>
              <a:solidFill>
                <a:schemeClr val="bg1"/>
              </a:solidFill>
            </a:ln>
          </c:spPr>
        </c:majorGridlines>
        <c:minorGridlines>
          <c:spPr>
            <a:ln w="3175">
              <a:solidFill>
                <a:schemeClr val="bg1"/>
              </a:solidFill>
            </a:ln>
          </c:spPr>
        </c:minorGridlines>
        <c:numFmt formatCode="General" sourceLinked="0"/>
        <c:majorTickMark val="out"/>
        <c:minorTickMark val="none"/>
        <c:tickLblPos val="low"/>
        <c:spPr>
          <a:ln>
            <a:solidFill>
              <a:schemeClr val="bg1"/>
            </a:solidFill>
          </a:ln>
        </c:spPr>
        <c:txPr>
          <a:bodyPr rot="0" vert="horz"/>
          <a:lstStyle/>
          <a:p>
            <a:pPr>
              <a:defRPr sz="700" b="1">
                <a:latin typeface="Arial Narrow" panose="020B0606020202030204" pitchFamily="34" charset="0"/>
                <a:cs typeface="Arial" panose="020B0604020202020204" pitchFamily="34" charset="0"/>
              </a:defRPr>
            </a:pPr>
            <a:endParaRPr lang="it-IT"/>
          </a:p>
        </c:txPr>
        <c:crossAx val="120487216"/>
        <c:crosses val="autoZero"/>
        <c:auto val="1"/>
        <c:lblAlgn val="ctr"/>
        <c:lblOffset val="100"/>
        <c:noMultiLvlLbl val="0"/>
      </c:catAx>
      <c:valAx>
        <c:axId val="120487216"/>
        <c:scaling>
          <c:orientation val="minMax"/>
          <c:max val="100"/>
          <c:min val="0"/>
        </c:scaling>
        <c:delete val="0"/>
        <c:axPos val="l"/>
        <c:majorGridlines>
          <c:spPr>
            <a:ln w="3175">
              <a:solidFill>
                <a:schemeClr val="bg1"/>
              </a:solidFill>
            </a:ln>
          </c:spPr>
        </c:majorGridlines>
        <c:numFmt formatCode="0" sourceLinked="0"/>
        <c:majorTickMark val="out"/>
        <c:minorTickMark val="none"/>
        <c:tickLblPos val="nextTo"/>
        <c:spPr>
          <a:ln>
            <a:solidFill>
              <a:schemeClr val="bg1"/>
            </a:solidFill>
          </a:ln>
        </c:spPr>
        <c:txPr>
          <a:bodyPr/>
          <a:lstStyle/>
          <a:p>
            <a:pPr>
              <a:defRPr sz="700"/>
            </a:pPr>
            <a:endParaRPr lang="it-IT"/>
          </a:p>
        </c:txPr>
        <c:crossAx val="120486672"/>
        <c:crosses val="autoZero"/>
        <c:crossBetween val="between"/>
      </c:valAx>
      <c:spPr>
        <a:noFill/>
        <a:ln w="12700">
          <a:solidFill>
            <a:schemeClr val="bg1"/>
          </a:solidFill>
        </a:ln>
      </c:spPr>
    </c:plotArea>
    <c:legend>
      <c:legendPos val="t"/>
      <c:layout>
        <c:manualLayout>
          <c:xMode val="edge"/>
          <c:yMode val="edge"/>
          <c:x val="5.4157595533051613E-2"/>
          <c:y val="0"/>
          <c:w val="0.74635019718515461"/>
          <c:h val="0.11732321503290349"/>
        </c:manualLayout>
      </c:layout>
      <c:overlay val="0"/>
      <c:txPr>
        <a:bodyPr/>
        <a:lstStyle/>
        <a:p>
          <a:pPr>
            <a:defRPr sz="800">
              <a:latin typeface="Arial Narrow" panose="020B0606020202030204" pitchFamily="34" charset="0"/>
              <a:cs typeface="Arial" panose="020B0604020202020204" pitchFamily="34" charset="0"/>
            </a:defRPr>
          </a:pPr>
          <a:endParaRPr lang="it-IT"/>
        </a:p>
      </c:txPr>
    </c:legend>
    <c:plotVisOnly val="1"/>
    <c:dispBlanksAs val="gap"/>
    <c:showDLblsOverMax val="0"/>
  </c:chart>
  <c:spPr>
    <a:noFill/>
    <a:ln>
      <a:noFill/>
    </a:ln>
  </c:spPr>
  <c:txPr>
    <a:bodyPr/>
    <a:lstStyle/>
    <a:p>
      <a:pPr>
        <a:defRPr sz="900">
          <a:latin typeface="Arial Narrow" panose="020B0606020202030204" pitchFamily="34" charset="0"/>
        </a:defRPr>
      </a:pPr>
      <a:endParaRPr lang="it-I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a:latin typeface="Arial" panose="020B0604020202020204" pitchFamily="34" charset="0"/>
                <a:cs typeface="Arial" panose="020B0604020202020204" pitchFamily="34" charset="0"/>
              </a:defRPr>
            </a:pPr>
            <a:r>
              <a:rPr lang="it-IT" sz="700">
                <a:latin typeface="Arial" panose="020B0604020202020204" pitchFamily="34" charset="0"/>
                <a:cs typeface="Arial" panose="020B0604020202020204" pitchFamily="34" charset="0"/>
              </a:rPr>
              <a:t>Uniti civilmente                           </a:t>
            </a:r>
            <a:r>
              <a:rPr lang="it-IT" sz="700" baseline="0">
                <a:latin typeface="Arial" panose="020B0604020202020204" pitchFamily="34" charset="0"/>
                <a:cs typeface="Arial" panose="020B0604020202020204" pitchFamily="34" charset="0"/>
              </a:rPr>
              <a:t>     </a:t>
            </a:r>
            <a:r>
              <a:rPr lang="it-IT" sz="700">
                <a:latin typeface="Arial" panose="020B0604020202020204" pitchFamily="34" charset="0"/>
                <a:cs typeface="Arial" panose="020B0604020202020204" pitchFamily="34" charset="0"/>
              </a:rPr>
              <a:t> Unite civilmente</a:t>
            </a:r>
          </a:p>
        </c:rich>
      </c:tx>
      <c:layout>
        <c:manualLayout>
          <c:xMode val="edge"/>
          <c:yMode val="edge"/>
          <c:x val="0.19953352091376389"/>
          <c:y val="0.92698009240073065"/>
        </c:manualLayout>
      </c:layout>
      <c:overlay val="0"/>
    </c:title>
    <c:autoTitleDeleted val="0"/>
    <c:plotArea>
      <c:layout>
        <c:manualLayout>
          <c:layoutTarget val="inner"/>
          <c:xMode val="edge"/>
          <c:yMode val="edge"/>
          <c:x val="4.0627616736192369E-2"/>
          <c:y val="0.12300962379702537"/>
          <c:w val="0.87799120299437872"/>
          <c:h val="0.69028976588075275"/>
        </c:manualLayout>
      </c:layout>
      <c:barChart>
        <c:barDir val="col"/>
        <c:grouping val="stacked"/>
        <c:varyColors val="0"/>
        <c:ser>
          <c:idx val="1"/>
          <c:order val="0"/>
          <c:tx>
            <c:strRef>
              <c:f>'6'!$A$44</c:f>
              <c:strCache>
                <c:ptCount val="1"/>
                <c:pt idx="0">
                  <c:v>Fino a 29 anni</c:v>
                </c:pt>
              </c:strCache>
            </c:strRef>
          </c:tx>
          <c:spPr>
            <a:solidFill>
              <a:schemeClr val="bg1">
                <a:lumMod val="50000"/>
              </a:schemeClr>
            </a:solidFill>
          </c:spPr>
          <c:invertIfNegative val="0"/>
          <c:cat>
            <c:numRef>
              <c:f>('6'!$H$2:$M$2,'6'!$T$2:$X$2)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('6'!$H$44:$M$44,'6'!$T$44:$X$44)</c:f>
              <c:numCache>
                <c:formatCode>#,##0.0</c:formatCode>
                <c:ptCount val="11"/>
                <c:pt idx="0">
                  <c:v>10.960044395116537</c:v>
                </c:pt>
                <c:pt idx="1">
                  <c:v>12.11484593837535</c:v>
                </c:pt>
                <c:pt idx="2">
                  <c:v>1.7689906347554629</c:v>
                </c:pt>
                <c:pt idx="3">
                  <c:v>8.4897959183673475</c:v>
                </c:pt>
                <c:pt idx="4">
                  <c:v>8.3124215809284827</c:v>
                </c:pt>
                <c:pt idx="6">
                  <c:v>13.916500994035786</c:v>
                </c:pt>
                <c:pt idx="7">
                  <c:v>14.384349827387801</c:v>
                </c:pt>
                <c:pt idx="8">
                  <c:v>11.505190311418685</c:v>
                </c:pt>
                <c:pt idx="9">
                  <c:v>14.138678223185266</c:v>
                </c:pt>
                <c:pt idx="10">
                  <c:v>16.119770303527481</c:v>
                </c:pt>
              </c:numCache>
            </c:numRef>
          </c:val>
          <c:extLst>
            <c:ext xmlns:c16="http://schemas.microsoft.com/office/drawing/2014/chart" uri="{C3380CC4-5D6E-409C-BE32-E72D297353CC}">
              <c16:uniqueId val="{00000000-EFB9-CD4A-A1EE-19247F845931}"/>
            </c:ext>
          </c:extLst>
        </c:ser>
        <c:ser>
          <c:idx val="2"/>
          <c:order val="1"/>
          <c:tx>
            <c:strRef>
              <c:f>'6'!$A$45</c:f>
              <c:strCache>
                <c:ptCount val="1"/>
                <c:pt idx="0">
                  <c:v>30-39 anni</c:v>
                </c:pt>
              </c:strCache>
            </c:strRef>
          </c:tx>
          <c:spPr>
            <a:solidFill>
              <a:srgbClr val="E42618"/>
            </a:solidFill>
          </c:spPr>
          <c:invertIfNegative val="0"/>
          <c:cat>
            <c:numRef>
              <c:f>('6'!$H$2:$M$2,'6'!$T$2:$X$2)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('6'!$H$45:$M$45,'6'!$T$45:$X$45)</c:f>
              <c:numCache>
                <c:formatCode>#,##0.0</c:formatCode>
                <c:ptCount val="11"/>
                <c:pt idx="0">
                  <c:v>25.915649278579355</c:v>
                </c:pt>
                <c:pt idx="1">
                  <c:v>28.186274509803923</c:v>
                </c:pt>
                <c:pt idx="2">
                  <c:v>19.823100936524455</c:v>
                </c:pt>
                <c:pt idx="3">
                  <c:v>25.387755102040817</c:v>
                </c:pt>
                <c:pt idx="4">
                  <c:v>29.077791718946049</c:v>
                </c:pt>
                <c:pt idx="6">
                  <c:v>36.033797216699803</c:v>
                </c:pt>
                <c:pt idx="7">
                  <c:v>37.456846950517836</c:v>
                </c:pt>
                <c:pt idx="8">
                  <c:v>34.429065743944633</c:v>
                </c:pt>
                <c:pt idx="9">
                  <c:v>41.495124593716142</c:v>
                </c:pt>
                <c:pt idx="10">
                  <c:v>42.206726825266614</c:v>
                </c:pt>
              </c:numCache>
            </c:numRef>
          </c:val>
          <c:extLst>
            <c:ext xmlns:c16="http://schemas.microsoft.com/office/drawing/2014/chart" uri="{C3380CC4-5D6E-409C-BE32-E72D297353CC}">
              <c16:uniqueId val="{00000001-EFB9-CD4A-A1EE-19247F845931}"/>
            </c:ext>
          </c:extLst>
        </c:ser>
        <c:ser>
          <c:idx val="3"/>
          <c:order val="2"/>
          <c:tx>
            <c:strRef>
              <c:f>'6'!$A$46</c:f>
              <c:strCache>
                <c:ptCount val="1"/>
                <c:pt idx="0">
                  <c:v>40-49 anni</c:v>
                </c:pt>
              </c:strCache>
            </c:strRef>
          </c:tx>
          <c:spPr>
            <a:solidFill>
              <a:srgbClr val="92D050"/>
            </a:solidFill>
          </c:spPr>
          <c:invertIfNegative val="0"/>
          <c:cat>
            <c:numRef>
              <c:f>('6'!$H$2:$M$2,'6'!$T$2:$X$2)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('6'!$H$46:$M$46,'6'!$T$46:$X$46)</c:f>
              <c:numCache>
                <c:formatCode>#,##0.0</c:formatCode>
                <c:ptCount val="11"/>
                <c:pt idx="0">
                  <c:v>29.966703662597116</c:v>
                </c:pt>
                <c:pt idx="1">
                  <c:v>28.186274509803923</c:v>
                </c:pt>
                <c:pt idx="2">
                  <c:v>22.788761706555672</c:v>
                </c:pt>
                <c:pt idx="3">
                  <c:v>26.897959183673471</c:v>
                </c:pt>
                <c:pt idx="4">
                  <c:v>26.380175658720201</c:v>
                </c:pt>
                <c:pt idx="6">
                  <c:v>29.174950298210732</c:v>
                </c:pt>
                <c:pt idx="7">
                  <c:v>28.308400460299193</c:v>
                </c:pt>
                <c:pt idx="8">
                  <c:v>29.1522491349481</c:v>
                </c:pt>
                <c:pt idx="9">
                  <c:v>25.02708559046587</c:v>
                </c:pt>
                <c:pt idx="10">
                  <c:v>24.159146841673504</c:v>
                </c:pt>
              </c:numCache>
            </c:numRef>
          </c:val>
          <c:extLst>
            <c:ext xmlns:c16="http://schemas.microsoft.com/office/drawing/2014/chart" uri="{C3380CC4-5D6E-409C-BE32-E72D297353CC}">
              <c16:uniqueId val="{00000002-EFB9-CD4A-A1EE-19247F845931}"/>
            </c:ext>
          </c:extLst>
        </c:ser>
        <c:ser>
          <c:idx val="4"/>
          <c:order val="3"/>
          <c:tx>
            <c:strRef>
              <c:f>'6'!$A$47</c:f>
              <c:strCache>
                <c:ptCount val="1"/>
                <c:pt idx="0">
                  <c:v>50-59 anni</c:v>
                </c:pt>
              </c:strCache>
            </c:strRef>
          </c:tx>
          <c:spPr>
            <a:solidFill>
              <a:srgbClr val="7030A0"/>
            </a:solidFill>
          </c:spPr>
          <c:invertIfNegative val="0"/>
          <c:cat>
            <c:numRef>
              <c:f>('6'!$H$2:$M$2,'6'!$T$2:$X$2)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('6'!$H$47:$M$47,'6'!$T$47:$X$47)</c:f>
              <c:numCache>
                <c:formatCode>#,##0.0</c:formatCode>
                <c:ptCount val="11"/>
                <c:pt idx="0">
                  <c:v>20.172031076581575</c:v>
                </c:pt>
                <c:pt idx="1">
                  <c:v>20.413165266106443</c:v>
                </c:pt>
                <c:pt idx="2">
                  <c:v>27.419354838709676</c:v>
                </c:pt>
                <c:pt idx="3">
                  <c:v>24.122448979591837</c:v>
                </c:pt>
                <c:pt idx="4">
                  <c:v>21.392722710163113</c:v>
                </c:pt>
                <c:pt idx="6">
                  <c:v>14.612326043737575</c:v>
                </c:pt>
                <c:pt idx="7">
                  <c:v>14.096662830840046</c:v>
                </c:pt>
                <c:pt idx="8">
                  <c:v>16.176470588235293</c:v>
                </c:pt>
                <c:pt idx="9">
                  <c:v>12.18851570964247</c:v>
                </c:pt>
                <c:pt idx="10">
                  <c:v>11.44380639868745</c:v>
                </c:pt>
              </c:numCache>
            </c:numRef>
          </c:val>
          <c:extLst>
            <c:ext xmlns:c16="http://schemas.microsoft.com/office/drawing/2014/chart" uri="{C3380CC4-5D6E-409C-BE32-E72D297353CC}">
              <c16:uniqueId val="{00000003-EFB9-CD4A-A1EE-19247F845931}"/>
            </c:ext>
          </c:extLst>
        </c:ser>
        <c:ser>
          <c:idx val="5"/>
          <c:order val="4"/>
          <c:tx>
            <c:strRef>
              <c:f>'6'!$A$48</c:f>
              <c:strCache>
                <c:ptCount val="1"/>
                <c:pt idx="0">
                  <c:v>60+</c:v>
                </c:pt>
              </c:strCache>
            </c:strRef>
          </c:tx>
          <c:spPr>
            <a:solidFill>
              <a:srgbClr val="1F497D"/>
            </a:solidFill>
          </c:spPr>
          <c:invertIfNegative val="0"/>
          <c:cat>
            <c:numRef>
              <c:f>('6'!$H$2:$M$2,'6'!$T$2:$X$2)</c:f>
              <c:numCache>
                <c:formatCode>General</c:formatCode>
                <c:ptCount val="11"/>
                <c:pt idx="0">
                  <c:v>2018</c:v>
                </c:pt>
                <c:pt idx="1">
                  <c:v>2019</c:v>
                </c:pt>
                <c:pt idx="2">
                  <c:v>2020</c:v>
                </c:pt>
                <c:pt idx="3">
                  <c:v>2021</c:v>
                </c:pt>
                <c:pt idx="4">
                  <c:v>2022</c:v>
                </c:pt>
                <c:pt idx="6">
                  <c:v>2018</c:v>
                </c:pt>
                <c:pt idx="7">
                  <c:v>2019</c:v>
                </c:pt>
                <c:pt idx="8">
                  <c:v>2020</c:v>
                </c:pt>
                <c:pt idx="9">
                  <c:v>2021</c:v>
                </c:pt>
                <c:pt idx="10">
                  <c:v>2022</c:v>
                </c:pt>
              </c:numCache>
            </c:numRef>
          </c:cat>
          <c:val>
            <c:numRef>
              <c:f>('6'!$H$48:$M$48,'6'!$T$48:$X$48)</c:f>
              <c:numCache>
                <c:formatCode>#,##0.0</c:formatCode>
                <c:ptCount val="11"/>
                <c:pt idx="0">
                  <c:v>12.985571587125417</c:v>
                </c:pt>
                <c:pt idx="1">
                  <c:v>11.099439775910364</c:v>
                </c:pt>
                <c:pt idx="2">
                  <c:v>28.199791883454733</c:v>
                </c:pt>
                <c:pt idx="3">
                  <c:v>15.102040816326531</c:v>
                </c:pt>
                <c:pt idx="4">
                  <c:v>14.836888331242157</c:v>
                </c:pt>
                <c:pt idx="6">
                  <c:v>6.2624254473161027</c:v>
                </c:pt>
                <c:pt idx="7">
                  <c:v>5.7537399309551205</c:v>
                </c:pt>
                <c:pt idx="8">
                  <c:v>8.7370242214532876</c:v>
                </c:pt>
                <c:pt idx="9">
                  <c:v>7.150595882990249</c:v>
                </c:pt>
                <c:pt idx="10">
                  <c:v>6.0705496308449547</c:v>
                </c:pt>
              </c:numCache>
            </c:numRef>
          </c:val>
          <c:extLst>
            <c:ext xmlns:c16="http://schemas.microsoft.com/office/drawing/2014/chart" uri="{C3380CC4-5D6E-409C-BE32-E72D297353CC}">
              <c16:uniqueId val="{00000004-EFB9-CD4A-A1EE-19247F845931}"/>
            </c:ext>
          </c:extLst>
        </c:ser>
        <c:dLbls>
          <c:showLegendKey val="0"/>
          <c:showVal val="0"/>
          <c:showCatName val="0"/>
          <c:showSerName val="0"/>
          <c:showPercent val="0"/>
          <c:showBubbleSize val="0"/>
        </c:dLbls>
        <c:gapWidth val="80"/>
        <c:overlap val="100"/>
        <c:axId val="120486672"/>
        <c:axId val="120487216"/>
      </c:barChart>
      <c:catAx>
        <c:axId val="120486672"/>
        <c:scaling>
          <c:orientation val="minMax"/>
        </c:scaling>
        <c:delete val="0"/>
        <c:axPos val="b"/>
        <c:majorGridlines>
          <c:spPr>
            <a:ln>
              <a:solidFill>
                <a:schemeClr val="bg1"/>
              </a:solidFill>
            </a:ln>
          </c:spPr>
        </c:majorGridlines>
        <c:minorGridlines>
          <c:spPr>
            <a:ln w="3175">
              <a:solidFill>
                <a:schemeClr val="bg1"/>
              </a:solidFill>
            </a:ln>
          </c:spPr>
        </c:minorGridlines>
        <c:numFmt formatCode="General" sourceLinked="0"/>
        <c:majorTickMark val="out"/>
        <c:minorTickMark val="none"/>
        <c:tickLblPos val="low"/>
        <c:spPr>
          <a:ln>
            <a:solidFill>
              <a:schemeClr val="bg1"/>
            </a:solidFill>
          </a:ln>
        </c:spPr>
        <c:txPr>
          <a:bodyPr rot="0" vert="horz"/>
          <a:lstStyle/>
          <a:p>
            <a:pPr>
              <a:defRPr sz="700" b="1">
                <a:latin typeface="Arial Narrow" panose="020B0606020202030204" pitchFamily="34" charset="0"/>
                <a:cs typeface="Arial" panose="020B0604020202020204" pitchFamily="34" charset="0"/>
              </a:defRPr>
            </a:pPr>
            <a:endParaRPr lang="it-IT"/>
          </a:p>
        </c:txPr>
        <c:crossAx val="120487216"/>
        <c:crosses val="autoZero"/>
        <c:auto val="1"/>
        <c:lblAlgn val="ctr"/>
        <c:lblOffset val="100"/>
        <c:noMultiLvlLbl val="0"/>
      </c:catAx>
      <c:valAx>
        <c:axId val="120487216"/>
        <c:scaling>
          <c:orientation val="minMax"/>
          <c:max val="100"/>
          <c:min val="0"/>
        </c:scaling>
        <c:delete val="0"/>
        <c:axPos val="l"/>
        <c:majorGridlines>
          <c:spPr>
            <a:ln w="3175">
              <a:solidFill>
                <a:schemeClr val="bg1"/>
              </a:solidFill>
            </a:ln>
          </c:spPr>
        </c:majorGridlines>
        <c:numFmt formatCode="0" sourceLinked="0"/>
        <c:majorTickMark val="out"/>
        <c:minorTickMark val="none"/>
        <c:tickLblPos val="nextTo"/>
        <c:spPr>
          <a:ln>
            <a:solidFill>
              <a:schemeClr val="bg1"/>
            </a:solidFill>
          </a:ln>
        </c:spPr>
        <c:txPr>
          <a:bodyPr/>
          <a:lstStyle/>
          <a:p>
            <a:pPr>
              <a:defRPr sz="700"/>
            </a:pPr>
            <a:endParaRPr lang="it-IT"/>
          </a:p>
        </c:txPr>
        <c:crossAx val="120486672"/>
        <c:crosses val="autoZero"/>
        <c:crossBetween val="between"/>
      </c:valAx>
      <c:spPr>
        <a:noFill/>
        <a:ln w="12700">
          <a:solidFill>
            <a:schemeClr val="bg1"/>
          </a:solidFill>
        </a:ln>
      </c:spPr>
    </c:plotArea>
    <c:legend>
      <c:legendPos val="t"/>
      <c:layout>
        <c:manualLayout>
          <c:xMode val="edge"/>
          <c:yMode val="edge"/>
          <c:x val="4.047461482751287E-2"/>
          <c:y val="0"/>
          <c:w val="0.90754882497460265"/>
          <c:h val="0.10836662658546992"/>
        </c:manualLayout>
      </c:layout>
      <c:overlay val="0"/>
      <c:txPr>
        <a:bodyPr/>
        <a:lstStyle/>
        <a:p>
          <a:pPr>
            <a:defRPr sz="800">
              <a:latin typeface="Arial Narrow" panose="020B0606020202030204" pitchFamily="34" charset="0"/>
              <a:cs typeface="Arial" panose="020B0604020202020204" pitchFamily="34" charset="0"/>
            </a:defRPr>
          </a:pPr>
          <a:endParaRPr lang="it-IT"/>
        </a:p>
      </c:txPr>
    </c:legend>
    <c:plotVisOnly val="1"/>
    <c:dispBlanksAs val="gap"/>
    <c:showDLblsOverMax val="0"/>
  </c:chart>
  <c:spPr>
    <a:noFill/>
    <a:ln>
      <a:noFill/>
    </a:ln>
  </c:spPr>
  <c:txPr>
    <a:bodyPr/>
    <a:lstStyle/>
    <a:p>
      <a:pPr>
        <a:defRPr sz="900">
          <a:latin typeface="Arial Narrow" panose="020B0606020202030204" pitchFamily="34" charset="0"/>
        </a:defRPr>
      </a:pPr>
      <a:endParaRPr lang="it-I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258730158730157E-2"/>
          <c:y val="0.30161367666879479"/>
          <c:w val="0.9363166953528399"/>
          <c:h val="0.62445172731786902"/>
        </c:manualLayout>
      </c:layout>
      <c:barChart>
        <c:barDir val="col"/>
        <c:grouping val="stacked"/>
        <c:varyColors val="0"/>
        <c:ser>
          <c:idx val="0"/>
          <c:order val="2"/>
          <c:tx>
            <c:strRef>
              <c:f>'Fig. 7 sepdiv tipo accordo'!$D$2</c:f>
              <c:strCache>
                <c:ptCount val="1"/>
                <c:pt idx="0">
                  <c:v>Separazioni giudiziali presso i Tribunali</c:v>
                </c:pt>
              </c:strCache>
            </c:strRef>
          </c:tx>
          <c:spPr>
            <a:solidFill>
              <a:srgbClr val="E42618"/>
            </a:solidFill>
          </c:spPr>
          <c:invertIfNegative val="0"/>
          <c:cat>
            <c:strRef>
              <c:f>'Fig. 7 sepdiv tipo accordo'!$A$3:$A$15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accordo'!$D$3:$D$15</c:f>
              <c:numCache>
                <c:formatCode>_-* #,##0_-;\-* #,##0_-;_-* "-"??_-;_-@_-</c:formatCode>
                <c:ptCount val="13"/>
                <c:pt idx="0">
                  <c:v>12788</c:v>
                </c:pt>
                <c:pt idx="1">
                  <c:v>13541</c:v>
                </c:pt>
                <c:pt idx="2">
                  <c:v>12870</c:v>
                </c:pt>
                <c:pt idx="3">
                  <c:v>14260</c:v>
                </c:pt>
                <c:pt idx="4">
                  <c:v>14118</c:v>
                </c:pt>
                <c:pt idx="5">
                  <c:v>16323</c:v>
                </c:pt>
                <c:pt idx="6">
                  <c:v>16385</c:v>
                </c:pt>
                <c:pt idx="7">
                  <c:v>14309</c:v>
                </c:pt>
                <c:pt idx="8">
                  <c:v>14414</c:v>
                </c:pt>
                <c:pt idx="9">
                  <c:v>14581</c:v>
                </c:pt>
                <c:pt idx="10">
                  <c:v>11718</c:v>
                </c:pt>
                <c:pt idx="11">
                  <c:v>14194</c:v>
                </c:pt>
                <c:pt idx="12">
                  <c:v>14970</c:v>
                </c:pt>
              </c:numCache>
            </c:numRef>
          </c:val>
          <c:extLst>
            <c:ext xmlns:c16="http://schemas.microsoft.com/office/drawing/2014/chart" uri="{C3380CC4-5D6E-409C-BE32-E72D297353CC}">
              <c16:uniqueId val="{00000000-58C2-4B5D-8B04-BF775073D179}"/>
            </c:ext>
          </c:extLst>
        </c:ser>
        <c:ser>
          <c:idx val="3"/>
          <c:order val="3"/>
          <c:tx>
            <c:strRef>
              <c:f>'Fig. 7 sepdiv tipo accordo'!$E$2</c:f>
              <c:strCache>
                <c:ptCount val="1"/>
                <c:pt idx="0">
                  <c:v>Separazioni consensuali presso i Tribunali</c:v>
                </c:pt>
              </c:strCache>
            </c:strRef>
          </c:tx>
          <c:spPr>
            <a:solidFill>
              <a:srgbClr val="9BBB59"/>
            </a:solidFill>
          </c:spPr>
          <c:invertIfNegative val="0"/>
          <c:cat>
            <c:strRef>
              <c:f>'Fig. 7 sepdiv tipo accordo'!$A$3:$A$15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accordo'!$E$3:$E$15</c:f>
              <c:numCache>
                <c:formatCode>_-* #,##0_-;\-* #,##0_-;_-* "-"??_-;_-@_-</c:formatCode>
                <c:ptCount val="13"/>
                <c:pt idx="0">
                  <c:v>75403</c:v>
                </c:pt>
                <c:pt idx="1">
                  <c:v>75256</c:v>
                </c:pt>
                <c:pt idx="2">
                  <c:v>75418</c:v>
                </c:pt>
                <c:pt idx="3">
                  <c:v>74626</c:v>
                </c:pt>
                <c:pt idx="4">
                  <c:v>75185</c:v>
                </c:pt>
                <c:pt idx="5">
                  <c:v>57715</c:v>
                </c:pt>
                <c:pt idx="6">
                  <c:v>61929</c:v>
                </c:pt>
                <c:pt idx="7">
                  <c:v>62060</c:v>
                </c:pt>
                <c:pt idx="8">
                  <c:v>62424</c:v>
                </c:pt>
                <c:pt idx="9">
                  <c:v>59310</c:v>
                </c:pt>
                <c:pt idx="10">
                  <c:v>46844</c:v>
                </c:pt>
                <c:pt idx="11">
                  <c:v>60452</c:v>
                </c:pt>
                <c:pt idx="12">
                  <c:v>52669</c:v>
                </c:pt>
              </c:numCache>
            </c:numRef>
          </c:val>
          <c:extLst>
            <c:ext xmlns:c16="http://schemas.microsoft.com/office/drawing/2014/chart" uri="{C3380CC4-5D6E-409C-BE32-E72D297353CC}">
              <c16:uniqueId val="{00000001-58C2-4B5D-8B04-BF775073D179}"/>
            </c:ext>
          </c:extLst>
        </c:ser>
        <c:ser>
          <c:idx val="4"/>
          <c:order val="4"/>
          <c:tx>
            <c:strRef>
              <c:f>'Fig. 7 sepdiv tipo accordo'!$F$2</c:f>
              <c:strCache>
                <c:ptCount val="1"/>
                <c:pt idx="0">
                  <c:v>Separazioni consensuali con negoziazioni assistite da avvocati (ex art.6)</c:v>
                </c:pt>
              </c:strCache>
            </c:strRef>
          </c:tx>
          <c:spPr>
            <a:solidFill>
              <a:srgbClr val="1F497D"/>
            </a:solidFill>
            <a:ln>
              <a:noFill/>
            </a:ln>
          </c:spPr>
          <c:invertIfNegative val="0"/>
          <c:cat>
            <c:strRef>
              <c:f>'Fig. 7 sepdiv tipo accordo'!$A$3:$A$15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accordo'!$F$3:$F$15</c:f>
              <c:numCache>
                <c:formatCode>General</c:formatCode>
                <c:ptCount val="13"/>
                <c:pt idx="5" formatCode="_-* #,##0_-;\-* #,##0_-;_-* &quot;-&quot;??_-;_-@_-">
                  <c:v>5688</c:v>
                </c:pt>
                <c:pt idx="6" formatCode="_-* #,##0_-;\-* #,##0_-;_-* &quot;-&quot;??_-;_-@_-">
                  <c:v>7305</c:v>
                </c:pt>
                <c:pt idx="7" formatCode="_-* #,##0_-;\-* #,##0_-;_-* &quot;-&quot;??_-;_-@_-">
                  <c:v>8280</c:v>
                </c:pt>
                <c:pt idx="8" formatCode="_-* #,##0_-;\-* #,##0_-;_-* &quot;-&quot;??_-;_-@_-">
                  <c:v>8222</c:v>
                </c:pt>
                <c:pt idx="9" formatCode="_-* #,##0_-;\-* #,##0_-;_-* &quot;-&quot;??_-;_-@_-">
                  <c:v>8890</c:v>
                </c:pt>
                <c:pt idx="10" formatCode="_-* #,##0_-;\-* #,##0_-;_-* &quot;-&quot;??_-;_-@_-">
                  <c:v>9178</c:v>
                </c:pt>
                <c:pt idx="11" formatCode="_-* #,##0_-;\-* #,##0_-;_-* &quot;-&quot;??_-;_-@_-">
                  <c:v>9716</c:v>
                </c:pt>
                <c:pt idx="12" formatCode="_-* #,##0_-;\-* #,##0_-;_-* &quot;-&quot;??_-;_-@_-">
                  <c:v>8567</c:v>
                </c:pt>
              </c:numCache>
            </c:numRef>
          </c:val>
          <c:extLst>
            <c:ext xmlns:c16="http://schemas.microsoft.com/office/drawing/2014/chart" uri="{C3380CC4-5D6E-409C-BE32-E72D297353CC}">
              <c16:uniqueId val="{00000002-58C2-4B5D-8B04-BF775073D179}"/>
            </c:ext>
          </c:extLst>
        </c:ser>
        <c:ser>
          <c:idx val="5"/>
          <c:order val="5"/>
          <c:tx>
            <c:strRef>
              <c:f>'Fig. 7 sepdiv tipo accordo'!$G$2</c:f>
              <c:strCache>
                <c:ptCount val="1"/>
                <c:pt idx="0">
                  <c:v>Separazioni consensuali presso lo stato civile (ex art.12)</c:v>
                </c:pt>
              </c:strCache>
            </c:strRef>
          </c:tx>
          <c:spPr>
            <a:solidFill>
              <a:schemeClr val="accent6"/>
            </a:solidFill>
          </c:spPr>
          <c:invertIfNegative val="0"/>
          <c:cat>
            <c:strRef>
              <c:f>'Fig. 7 sepdiv tipo accordo'!$A$3:$A$15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accordo'!$G$3:$G$15</c:f>
              <c:numCache>
                <c:formatCode>General</c:formatCode>
                <c:ptCount val="13"/>
                <c:pt idx="5" formatCode="_-* #,##0_-;\-* #,##0_-;_-* &quot;-&quot;??_-;_-@_-">
                  <c:v>11980</c:v>
                </c:pt>
                <c:pt idx="6" formatCode="_-* #,##0_-;\-* #,##0_-;_-* &quot;-&quot;??_-;_-@_-">
                  <c:v>13992</c:v>
                </c:pt>
                <c:pt idx="7" formatCode="_-* #,##0_-;\-* #,##0_-;_-* &quot;-&quot;??_-;_-@_-">
                  <c:v>13812</c:v>
                </c:pt>
                <c:pt idx="8" formatCode="_-* #,##0_-;\-* #,##0_-;_-* &quot;-&quot;??_-;_-@_-">
                  <c:v>13865</c:v>
                </c:pt>
                <c:pt idx="9" formatCode="_-* #,##0_-;\-* #,##0_-;_-* &quot;-&quot;??_-;_-@_-">
                  <c:v>14693</c:v>
                </c:pt>
                <c:pt idx="10" formatCode="_-* #,##0_-;\-* #,##0_-;_-* &quot;-&quot;??_-;_-@_-">
                  <c:v>12177</c:v>
                </c:pt>
                <c:pt idx="11" formatCode="_-* #,##0_-;\-* #,##0_-;_-* &quot;-&quot;??_-;_-@_-">
                  <c:v>13551</c:v>
                </c:pt>
                <c:pt idx="12" formatCode="_-* #,##0_-;\-* #,##0_-;_-* &quot;-&quot;??_-;_-@_-">
                  <c:v>13701</c:v>
                </c:pt>
              </c:numCache>
            </c:numRef>
          </c:val>
          <c:extLst>
            <c:ext xmlns:c16="http://schemas.microsoft.com/office/drawing/2014/chart" uri="{C3380CC4-5D6E-409C-BE32-E72D297353CC}">
              <c16:uniqueId val="{00000003-58C2-4B5D-8B04-BF775073D179}"/>
            </c:ext>
          </c:extLst>
        </c:ser>
        <c:dLbls>
          <c:showLegendKey val="0"/>
          <c:showVal val="0"/>
          <c:showCatName val="0"/>
          <c:showSerName val="0"/>
          <c:showPercent val="0"/>
          <c:showBubbleSize val="0"/>
        </c:dLbls>
        <c:gapWidth val="90"/>
        <c:overlap val="100"/>
        <c:axId val="1532950224"/>
        <c:axId val="1532950784"/>
        <c:extLst>
          <c:ext xmlns:c15="http://schemas.microsoft.com/office/drawing/2012/chart" uri="{02D57815-91ED-43cb-92C2-25804820EDAC}">
            <c15:filteredBarSeries>
              <c15:ser>
                <c:idx val="2"/>
                <c:order val="0"/>
                <c:tx>
                  <c:strRef>
                    <c:extLst>
                      <c:ext uri="{02D57815-91ED-43cb-92C2-25804820EDAC}">
                        <c15:formulaRef>
                          <c15:sqref>'Fig. 7 sepdiv tipo accordo'!$B$2</c15:sqref>
                        </c15:formulaRef>
                      </c:ext>
                    </c:extLst>
                    <c:strCache>
                      <c:ptCount val="1"/>
                      <c:pt idx="0">
                        <c:v>Separazioni</c:v>
                      </c:pt>
                    </c:strCache>
                  </c:strRef>
                </c:tx>
                <c:spPr>
                  <a:solidFill>
                    <a:srgbClr val="002060"/>
                  </a:solidFill>
                </c:spPr>
                <c:invertIfNegative val="0"/>
                <c:cat>
                  <c:strRef>
                    <c:extLst>
                      <c:ext uri="{02D57815-91ED-43cb-92C2-25804820EDAC}">
                        <c15:formulaRef>
                          <c15:sqref>'Fig. 7 sepdiv tipo accordo'!$A$3:$A$15</c15:sqref>
                        </c15:formulaRef>
                      </c:ext>
                    </c:extLst>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extLst>
                      <c:ext uri="{02D57815-91ED-43cb-92C2-25804820EDAC}">
                        <c15:formulaRef>
                          <c15:sqref>'Fig. 7 sepdiv tipo accordo'!$B$3:$B$15</c15:sqref>
                        </c15:formulaRef>
                      </c:ext>
                    </c:extLst>
                    <c:numCache>
                      <c:formatCode>_-* #,##0_-;\-* #,##0_-;_-* "-"??_-;_-@_-</c:formatCode>
                      <c:ptCount val="13"/>
                      <c:pt idx="0">
                        <c:v>88191</c:v>
                      </c:pt>
                      <c:pt idx="1">
                        <c:v>88797</c:v>
                      </c:pt>
                      <c:pt idx="2">
                        <c:v>88288</c:v>
                      </c:pt>
                      <c:pt idx="3">
                        <c:v>88886</c:v>
                      </c:pt>
                      <c:pt idx="4">
                        <c:v>89303</c:v>
                      </c:pt>
                      <c:pt idx="5">
                        <c:v>91706</c:v>
                      </c:pt>
                      <c:pt idx="6">
                        <c:v>99611</c:v>
                      </c:pt>
                      <c:pt idx="7">
                        <c:v>98461</c:v>
                      </c:pt>
                      <c:pt idx="8">
                        <c:v>98925</c:v>
                      </c:pt>
                      <c:pt idx="9">
                        <c:v>97474</c:v>
                      </c:pt>
                      <c:pt idx="10">
                        <c:v>79917</c:v>
                      </c:pt>
                      <c:pt idx="11">
                        <c:v>97913</c:v>
                      </c:pt>
                      <c:pt idx="12">
                        <c:v>89907</c:v>
                      </c:pt>
                    </c:numCache>
                  </c:numRef>
                </c:val>
                <c:extLst>
                  <c:ext xmlns:c16="http://schemas.microsoft.com/office/drawing/2014/chart" uri="{C3380CC4-5D6E-409C-BE32-E72D297353CC}">
                    <c16:uniqueId val="{00000004-58C2-4B5D-8B04-BF775073D17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'Fig. 7 sepdiv tipo accordo'!$C$2</c15:sqref>
                        </c15:formulaRef>
                      </c:ext>
                    </c:extLst>
                    <c:strCache>
                      <c:ptCount val="1"/>
                      <c:pt idx="0">
                        <c:v>Separazioni consensuali</c:v>
                      </c:pt>
                    </c:strCache>
                  </c:strRef>
                </c:tx>
                <c:spPr>
                  <a:solidFill>
                    <a:srgbClr val="FF0000"/>
                  </a:solidFill>
                </c:spPr>
                <c:invertIfNegative val="0"/>
                <c:cat>
                  <c:strRef>
                    <c:extLst xmlns:c15="http://schemas.microsoft.com/office/drawing/2012/chart">
                      <c:ext xmlns:c15="http://schemas.microsoft.com/office/drawing/2012/chart" uri="{02D57815-91ED-43cb-92C2-25804820EDAC}">
                        <c15:formulaRef>
                          <c15:sqref>'Fig. 7 sepdiv tipo accordo'!$A$3:$A$15</c15:sqref>
                        </c15:formulaRef>
                      </c:ext>
                    </c:extLst>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extLst xmlns:c15="http://schemas.microsoft.com/office/drawing/2012/chart">
                      <c:ext xmlns:c15="http://schemas.microsoft.com/office/drawing/2012/chart" uri="{02D57815-91ED-43cb-92C2-25804820EDAC}">
                        <c15:formulaRef>
                          <c15:sqref>'Fig. 7 sepdiv tipo accordo'!$C$3:$C$15</c15:sqref>
                        </c15:formulaRef>
                      </c:ext>
                    </c:extLst>
                    <c:numCache>
                      <c:formatCode>_-* #,##0_-;\-* #,##0_-;_-* "-"??_-;_-@_-</c:formatCode>
                      <c:ptCount val="13"/>
                      <c:pt idx="0">
                        <c:v>75403</c:v>
                      </c:pt>
                      <c:pt idx="1">
                        <c:v>75256</c:v>
                      </c:pt>
                      <c:pt idx="2">
                        <c:v>75418</c:v>
                      </c:pt>
                      <c:pt idx="3">
                        <c:v>74626</c:v>
                      </c:pt>
                      <c:pt idx="4">
                        <c:v>75185</c:v>
                      </c:pt>
                      <c:pt idx="5">
                        <c:v>75383</c:v>
                      </c:pt>
                      <c:pt idx="6">
                        <c:v>83226</c:v>
                      </c:pt>
                      <c:pt idx="7">
                        <c:v>84152</c:v>
                      </c:pt>
                      <c:pt idx="8">
                        <c:v>84511</c:v>
                      </c:pt>
                      <c:pt idx="9">
                        <c:v>82893</c:v>
                      </c:pt>
                      <c:pt idx="10">
                        <c:v>68199</c:v>
                      </c:pt>
                      <c:pt idx="11">
                        <c:v>83719</c:v>
                      </c:pt>
                      <c:pt idx="12">
                        <c:v>74937</c:v>
                      </c:pt>
                    </c:numCache>
                  </c:numRef>
                </c:val>
                <c:extLst xmlns:c15="http://schemas.microsoft.com/office/drawing/2012/chart">
                  <c:ext xmlns:c16="http://schemas.microsoft.com/office/drawing/2014/chart" uri="{C3380CC4-5D6E-409C-BE32-E72D297353CC}">
                    <c16:uniqueId val="{00000005-58C2-4B5D-8B04-BF775073D179}"/>
                  </c:ext>
                </c:extLst>
              </c15:ser>
            </c15:filteredBarSeries>
          </c:ext>
        </c:extLst>
      </c:barChart>
      <c:catAx>
        <c:axId val="1532950224"/>
        <c:scaling>
          <c:orientation val="minMax"/>
        </c:scaling>
        <c:delete val="0"/>
        <c:axPos val="b"/>
        <c:majorGridlines>
          <c:spPr>
            <a:ln w="3175">
              <a:solidFill>
                <a:schemeClr val="bg1"/>
              </a:solidFill>
            </a:ln>
          </c:spPr>
        </c:majorGridlines>
        <c:numFmt formatCode="General" sourceLinked="1"/>
        <c:majorTickMark val="out"/>
        <c:minorTickMark val="none"/>
        <c:tickLblPos val="low"/>
        <c:spPr>
          <a:ln w="12700">
            <a:solidFill>
              <a:schemeClr val="bg1"/>
            </a:solidFill>
            <a:prstDash val="solid"/>
          </a:ln>
        </c:spPr>
        <c:txPr>
          <a:bodyPr rot="-5400000" vert="horz"/>
          <a:lstStyle/>
          <a:p>
            <a:pPr>
              <a:defRPr/>
            </a:pPr>
            <a:endParaRPr lang="it-IT"/>
          </a:p>
        </c:txPr>
        <c:crossAx val="1532950784"/>
        <c:crosses val="autoZero"/>
        <c:auto val="1"/>
        <c:lblAlgn val="ctr"/>
        <c:lblOffset val="0"/>
        <c:noMultiLvlLbl val="0"/>
      </c:catAx>
      <c:valAx>
        <c:axId val="1532950784"/>
        <c:scaling>
          <c:orientation val="minMax"/>
          <c:max val="100000"/>
          <c:min val="0"/>
        </c:scaling>
        <c:delete val="0"/>
        <c:axPos val="l"/>
        <c:majorGridlines>
          <c:spPr>
            <a:ln w="3175">
              <a:solidFill>
                <a:schemeClr val="bg1"/>
              </a:solidFill>
            </a:ln>
          </c:spPr>
        </c:majorGridlines>
        <c:numFmt formatCode="#,##0" sourceLinked="0"/>
        <c:majorTickMark val="out"/>
        <c:minorTickMark val="none"/>
        <c:tickLblPos val="nextTo"/>
        <c:spPr>
          <a:ln w="12700">
            <a:solidFill>
              <a:schemeClr val="bg1"/>
            </a:solidFill>
            <a:prstDash val="solid"/>
          </a:ln>
        </c:spPr>
        <c:txPr>
          <a:bodyPr rot="0" vert="horz"/>
          <a:lstStyle/>
          <a:p>
            <a:pPr>
              <a:defRPr/>
            </a:pPr>
            <a:endParaRPr lang="it-IT"/>
          </a:p>
        </c:txPr>
        <c:crossAx val="1532950224"/>
        <c:crosses val="autoZero"/>
        <c:crossBetween val="between"/>
        <c:majorUnit val="20000"/>
      </c:valAx>
      <c:spPr>
        <a:noFill/>
        <a:ln w="25400">
          <a:noFill/>
        </a:ln>
      </c:spPr>
    </c:plotArea>
    <c:legend>
      <c:legendPos val="r"/>
      <c:layout>
        <c:manualLayout>
          <c:xMode val="edge"/>
          <c:yMode val="edge"/>
          <c:x val="0"/>
          <c:y val="2.2173952393881799E-3"/>
          <c:w val="0.98126103169142687"/>
          <c:h val="0.255670205403429"/>
        </c:manualLayout>
      </c:layout>
      <c:overlay val="0"/>
      <c:spPr>
        <a:noFill/>
        <a:ln w="25400">
          <a:noFill/>
        </a:ln>
      </c:sp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it-I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258730158730157E-2"/>
          <c:y val="0.30161367666879479"/>
          <c:w val="0.9363166953528399"/>
          <c:h val="0.62445172731786902"/>
        </c:manualLayout>
      </c:layout>
      <c:barChart>
        <c:barDir val="col"/>
        <c:grouping val="stacked"/>
        <c:varyColors val="0"/>
        <c:ser>
          <c:idx val="0"/>
          <c:order val="2"/>
          <c:tx>
            <c:strRef>
              <c:f>'Fig. 7 sepdiv tipo accordo'!$K$2</c:f>
              <c:strCache>
                <c:ptCount val="1"/>
                <c:pt idx="0">
                  <c:v>Divorzi giudiziali presso i Tribunali</c:v>
                </c:pt>
              </c:strCache>
            </c:strRef>
          </c:tx>
          <c:spPr>
            <a:solidFill>
              <a:srgbClr val="E42618"/>
            </a:solidFill>
          </c:spPr>
          <c:invertIfNegative val="0"/>
          <c:cat>
            <c:strRef>
              <c:f>'Fig. 7 sepdiv tipo accordo'!$H$3:$H$15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accordo'!$K$3:$K$15</c:f>
              <c:numCache>
                <c:formatCode>_-* #,##0_-;\-* #,##0_-;_-* "-"??_-;_-@_-</c:formatCode>
                <c:ptCount val="13"/>
                <c:pt idx="0">
                  <c:v>14934</c:v>
                </c:pt>
                <c:pt idx="1">
                  <c:v>16490</c:v>
                </c:pt>
                <c:pt idx="2">
                  <c:v>11579</c:v>
                </c:pt>
                <c:pt idx="3">
                  <c:v>12625</c:v>
                </c:pt>
                <c:pt idx="4">
                  <c:v>12625</c:v>
                </c:pt>
                <c:pt idx="5">
                  <c:v>20019</c:v>
                </c:pt>
                <c:pt idx="6">
                  <c:v>21562</c:v>
                </c:pt>
                <c:pt idx="7">
                  <c:v>24501</c:v>
                </c:pt>
                <c:pt idx="8">
                  <c:v>25697</c:v>
                </c:pt>
                <c:pt idx="9">
                  <c:v>25538</c:v>
                </c:pt>
                <c:pt idx="10">
                  <c:v>18872</c:v>
                </c:pt>
                <c:pt idx="11">
                  <c:v>24235</c:v>
                </c:pt>
                <c:pt idx="12">
                  <c:v>23559</c:v>
                </c:pt>
              </c:numCache>
            </c:numRef>
          </c:val>
          <c:extLst>
            <c:ext xmlns:c16="http://schemas.microsoft.com/office/drawing/2014/chart" uri="{C3380CC4-5D6E-409C-BE32-E72D297353CC}">
              <c16:uniqueId val="{00000000-6FAC-47A3-A9E9-182809F8FDAE}"/>
            </c:ext>
          </c:extLst>
        </c:ser>
        <c:ser>
          <c:idx val="3"/>
          <c:order val="3"/>
          <c:tx>
            <c:strRef>
              <c:f>'Fig. 7 sepdiv tipo accordo'!$L$2</c:f>
              <c:strCache>
                <c:ptCount val="1"/>
                <c:pt idx="0">
                  <c:v>Divorzi  consensuali presso i Tribunali</c:v>
                </c:pt>
              </c:strCache>
            </c:strRef>
          </c:tx>
          <c:spPr>
            <a:solidFill>
              <a:srgbClr val="9BBB59"/>
            </a:solidFill>
          </c:spPr>
          <c:invertIfNegative val="0"/>
          <c:cat>
            <c:strRef>
              <c:f>'Fig. 7 sepdiv tipo accordo'!$H$3:$H$15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accordo'!$L$3:$L$15</c:f>
              <c:numCache>
                <c:formatCode>_-* #,##0_-;\-* #,##0_-;_-* "-"??_-;_-@_-</c:formatCode>
                <c:ptCount val="13"/>
                <c:pt idx="0">
                  <c:v>39226</c:v>
                </c:pt>
                <c:pt idx="1">
                  <c:v>37316</c:v>
                </c:pt>
                <c:pt idx="2">
                  <c:v>39740</c:v>
                </c:pt>
                <c:pt idx="3">
                  <c:v>40318</c:v>
                </c:pt>
                <c:pt idx="4">
                  <c:v>39730</c:v>
                </c:pt>
                <c:pt idx="5">
                  <c:v>35410</c:v>
                </c:pt>
                <c:pt idx="6">
                  <c:v>42503</c:v>
                </c:pt>
                <c:pt idx="7">
                  <c:v>37740</c:v>
                </c:pt>
                <c:pt idx="8">
                  <c:v>36039</c:v>
                </c:pt>
                <c:pt idx="9">
                  <c:v>32891</c:v>
                </c:pt>
                <c:pt idx="10">
                  <c:v>25982</c:v>
                </c:pt>
                <c:pt idx="11">
                  <c:v>34225</c:v>
                </c:pt>
                <c:pt idx="12">
                  <c:v>35172</c:v>
                </c:pt>
              </c:numCache>
            </c:numRef>
          </c:val>
          <c:extLst>
            <c:ext xmlns:c16="http://schemas.microsoft.com/office/drawing/2014/chart" uri="{C3380CC4-5D6E-409C-BE32-E72D297353CC}">
              <c16:uniqueId val="{00000001-6FAC-47A3-A9E9-182809F8FDAE}"/>
            </c:ext>
          </c:extLst>
        </c:ser>
        <c:ser>
          <c:idx val="4"/>
          <c:order val="4"/>
          <c:tx>
            <c:strRef>
              <c:f>'Fig. 7 sepdiv tipo accordo'!$M$2</c:f>
              <c:strCache>
                <c:ptCount val="1"/>
                <c:pt idx="0">
                  <c:v>Divorzi  consensuali con negoziazioni assistite da avvocati (ex art.6)</c:v>
                </c:pt>
              </c:strCache>
            </c:strRef>
          </c:tx>
          <c:spPr>
            <a:solidFill>
              <a:srgbClr val="1F497D"/>
            </a:solidFill>
          </c:spPr>
          <c:invertIfNegative val="0"/>
          <c:cat>
            <c:strRef>
              <c:f>'Fig. 7 sepdiv tipo accordo'!$H$3:$H$15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accordo'!$M$3:$M$15</c:f>
              <c:numCache>
                <c:formatCode>General</c:formatCode>
                <c:ptCount val="13"/>
                <c:pt idx="5" formatCode="_-* #,##0_-;\-* #,##0_-;_-* &quot;-&quot;??_-;_-@_-">
                  <c:v>5216</c:v>
                </c:pt>
                <c:pt idx="6" formatCode="_-* #,##0_-;\-* #,##0_-;_-* &quot;-&quot;??_-;_-@_-">
                  <c:v>7051</c:v>
                </c:pt>
                <c:pt idx="7" formatCode="_-* #,##0_-;\-* #,##0_-;_-* &quot;-&quot;??_-;_-@_-">
                  <c:v>6838</c:v>
                </c:pt>
                <c:pt idx="8" formatCode="_-* #,##0_-;\-* #,##0_-;_-* &quot;-&quot;??_-;_-@_-">
                  <c:v>6519</c:v>
                </c:pt>
                <c:pt idx="9" formatCode="_-* #,##0_-;\-* #,##0_-;_-* &quot;-&quot;??_-;_-@_-">
                  <c:v>6698</c:v>
                </c:pt>
                <c:pt idx="10" formatCode="_-* #,##0_-;\-* #,##0_-;_-* &quot;-&quot;??_-;_-@_-">
                  <c:v>6341</c:v>
                </c:pt>
                <c:pt idx="11" formatCode="_-* #,##0_-;\-* #,##0_-;_-* &quot;-&quot;??_-;_-@_-">
                  <c:v>7263</c:v>
                </c:pt>
                <c:pt idx="12" formatCode="_-* #,##0_-;\-* #,##0_-;_-* &quot;-&quot;??_-;_-@_-">
                  <c:v>6731</c:v>
                </c:pt>
              </c:numCache>
            </c:numRef>
          </c:val>
          <c:extLst>
            <c:ext xmlns:c16="http://schemas.microsoft.com/office/drawing/2014/chart" uri="{C3380CC4-5D6E-409C-BE32-E72D297353CC}">
              <c16:uniqueId val="{00000002-6FAC-47A3-A9E9-182809F8FDAE}"/>
            </c:ext>
          </c:extLst>
        </c:ser>
        <c:ser>
          <c:idx val="5"/>
          <c:order val="5"/>
          <c:tx>
            <c:strRef>
              <c:f>'Fig. 7 sepdiv tipo accordo'!$N$2</c:f>
              <c:strCache>
                <c:ptCount val="1"/>
                <c:pt idx="0">
                  <c:v>Divorzi  consensuali presso lo stato civile (ex art.12)</c:v>
                </c:pt>
              </c:strCache>
            </c:strRef>
          </c:tx>
          <c:spPr>
            <a:solidFill>
              <a:schemeClr val="accent6"/>
            </a:solidFill>
          </c:spPr>
          <c:invertIfNegative val="0"/>
          <c:cat>
            <c:strRef>
              <c:f>'Fig. 7 sepdiv tipo accordo'!$H$3:$H$15</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'Fig. 7 sepdiv tipo accordo'!$N$3:$N$15</c:f>
              <c:numCache>
                <c:formatCode>General</c:formatCode>
                <c:ptCount val="13"/>
                <c:pt idx="5" formatCode="_-* #,##0_-;\-* #,##0_-;_-* &quot;-&quot;??_-;_-@_-">
                  <c:v>21824</c:v>
                </c:pt>
                <c:pt idx="6" formatCode="_-* #,##0_-;\-* #,##0_-;_-* &quot;-&quot;??_-;_-@_-">
                  <c:v>27955</c:v>
                </c:pt>
                <c:pt idx="7" formatCode="_-* #,##0_-;\-* #,##0_-;_-* &quot;-&quot;??_-;_-@_-">
                  <c:v>22550</c:v>
                </c:pt>
                <c:pt idx="8" formatCode="_-* #,##0_-;\-* #,##0_-;_-* &quot;-&quot;??_-;_-@_-">
                  <c:v>20203</c:v>
                </c:pt>
                <c:pt idx="9" formatCode="_-* #,##0_-;\-* #,##0_-;_-* &quot;-&quot;??_-;_-@_-">
                  <c:v>20222</c:v>
                </c:pt>
                <c:pt idx="10" formatCode="_-* #,##0_-;\-* #,##0_-;_-* &quot;-&quot;??_-;_-@_-">
                  <c:v>15467</c:v>
                </c:pt>
                <c:pt idx="11" formatCode="_-* #,##0_-;\-* #,##0_-;_-* &quot;-&quot;??_-;_-@_-">
                  <c:v>17469</c:v>
                </c:pt>
                <c:pt idx="12" formatCode="_-* #,##0_-;\-* #,##0_-;_-* &quot;-&quot;??_-;_-@_-">
                  <c:v>17134</c:v>
                </c:pt>
              </c:numCache>
            </c:numRef>
          </c:val>
          <c:extLst>
            <c:ext xmlns:c16="http://schemas.microsoft.com/office/drawing/2014/chart" uri="{C3380CC4-5D6E-409C-BE32-E72D297353CC}">
              <c16:uniqueId val="{00000003-6FAC-47A3-A9E9-182809F8FDAE}"/>
            </c:ext>
          </c:extLst>
        </c:ser>
        <c:dLbls>
          <c:showLegendKey val="0"/>
          <c:showVal val="0"/>
          <c:showCatName val="0"/>
          <c:showSerName val="0"/>
          <c:showPercent val="0"/>
          <c:showBubbleSize val="0"/>
        </c:dLbls>
        <c:gapWidth val="90"/>
        <c:overlap val="100"/>
        <c:axId val="1360160208"/>
        <c:axId val="1360160768"/>
        <c:extLst>
          <c:ext xmlns:c15="http://schemas.microsoft.com/office/drawing/2012/chart" uri="{02D57815-91ED-43cb-92C2-25804820EDAC}">
            <c15:filteredBarSeries>
              <c15:ser>
                <c:idx val="2"/>
                <c:order val="0"/>
                <c:tx>
                  <c:strRef>
                    <c:extLst>
                      <c:ext uri="{02D57815-91ED-43cb-92C2-25804820EDAC}">
                        <c15:formulaRef>
                          <c15:sqref>'Fig. 7 sepdiv tipo accordo'!$I$2</c15:sqref>
                        </c15:formulaRef>
                      </c:ext>
                    </c:extLst>
                    <c:strCache>
                      <c:ptCount val="1"/>
                      <c:pt idx="0">
                        <c:v>Divorzi</c:v>
                      </c:pt>
                    </c:strCache>
                  </c:strRef>
                </c:tx>
                <c:spPr>
                  <a:solidFill>
                    <a:srgbClr val="002060"/>
                  </a:solidFill>
                </c:spPr>
                <c:invertIfNegative val="0"/>
                <c:cat>
                  <c:strRef>
                    <c:extLst>
                      <c:ext uri="{02D57815-91ED-43cb-92C2-25804820EDAC}">
                        <c15:formulaRef>
                          <c15:sqref>'Fig. 7 sepdiv tipo accordo'!$H$3:$H$15</c15:sqref>
                        </c15:formulaRef>
                      </c:ext>
                    </c:extLst>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extLst>
                      <c:ext uri="{02D57815-91ED-43cb-92C2-25804820EDAC}">
                        <c15:formulaRef>
                          <c15:sqref>'Fig. 7 sepdiv tipo accordo'!$I$3:$I$15</c15:sqref>
                        </c15:formulaRef>
                      </c:ext>
                    </c:extLst>
                    <c:numCache>
                      <c:formatCode>_-* #,##0_-;\-* #,##0_-;_-* "-"??_-;_-@_-</c:formatCode>
                      <c:ptCount val="13"/>
                      <c:pt idx="0">
                        <c:v>54160</c:v>
                      </c:pt>
                      <c:pt idx="1">
                        <c:v>53806</c:v>
                      </c:pt>
                      <c:pt idx="2">
                        <c:v>51319</c:v>
                      </c:pt>
                      <c:pt idx="3">
                        <c:v>52943</c:v>
                      </c:pt>
                      <c:pt idx="4">
                        <c:v>52355</c:v>
                      </c:pt>
                      <c:pt idx="5">
                        <c:v>82469</c:v>
                      </c:pt>
                      <c:pt idx="6">
                        <c:v>99071</c:v>
                      </c:pt>
                      <c:pt idx="7">
                        <c:v>91629</c:v>
                      </c:pt>
                      <c:pt idx="8">
                        <c:v>88458</c:v>
                      </c:pt>
                      <c:pt idx="9">
                        <c:v>85349</c:v>
                      </c:pt>
                      <c:pt idx="10">
                        <c:v>66662</c:v>
                      </c:pt>
                      <c:pt idx="11">
                        <c:v>83192</c:v>
                      </c:pt>
                      <c:pt idx="12">
                        <c:v>82596</c:v>
                      </c:pt>
                    </c:numCache>
                  </c:numRef>
                </c:val>
                <c:extLst>
                  <c:ext xmlns:c16="http://schemas.microsoft.com/office/drawing/2014/chart" uri="{C3380CC4-5D6E-409C-BE32-E72D297353CC}">
                    <c16:uniqueId val="{00000004-6FAC-47A3-A9E9-182809F8FDA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'Fig. 7 sepdiv tipo accordo'!$J$2</c15:sqref>
                        </c15:formulaRef>
                      </c:ext>
                    </c:extLst>
                    <c:strCache>
                      <c:ptCount val="1"/>
                      <c:pt idx="0">
                        <c:v>Divorzi consensuali</c:v>
                      </c:pt>
                    </c:strCache>
                  </c:strRef>
                </c:tx>
                <c:spPr>
                  <a:solidFill>
                    <a:srgbClr val="FF0000"/>
                  </a:solidFill>
                </c:spPr>
                <c:invertIfNegative val="0"/>
                <c:cat>
                  <c:strRef>
                    <c:extLst xmlns:c15="http://schemas.microsoft.com/office/drawing/2012/chart">
                      <c:ext xmlns:c15="http://schemas.microsoft.com/office/drawing/2012/chart" uri="{02D57815-91ED-43cb-92C2-25804820EDAC}">
                        <c15:formulaRef>
                          <c15:sqref>'Fig. 7 sepdiv tipo accordo'!$H$3:$H$15</c15:sqref>
                        </c15:formulaRef>
                      </c:ext>
                    </c:extLst>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extLst xmlns:c15="http://schemas.microsoft.com/office/drawing/2012/chart">
                      <c:ext xmlns:c15="http://schemas.microsoft.com/office/drawing/2012/chart" uri="{02D57815-91ED-43cb-92C2-25804820EDAC}">
                        <c15:formulaRef>
                          <c15:sqref>'Fig. 7 sepdiv tipo accordo'!$J$3:$J$15</c15:sqref>
                        </c15:formulaRef>
                      </c:ext>
                    </c:extLst>
                    <c:numCache>
                      <c:formatCode>_-* #,##0_-;\-* #,##0_-;_-* "-"??_-;_-@_-</c:formatCode>
                      <c:ptCount val="13"/>
                      <c:pt idx="0">
                        <c:v>39226</c:v>
                      </c:pt>
                      <c:pt idx="1">
                        <c:v>37316</c:v>
                      </c:pt>
                      <c:pt idx="2">
                        <c:v>39740</c:v>
                      </c:pt>
                      <c:pt idx="3">
                        <c:v>40318</c:v>
                      </c:pt>
                      <c:pt idx="4">
                        <c:v>39730</c:v>
                      </c:pt>
                      <c:pt idx="5">
                        <c:v>61430</c:v>
                      </c:pt>
                      <c:pt idx="6">
                        <c:v>77509</c:v>
                      </c:pt>
                      <c:pt idx="7">
                        <c:v>67128</c:v>
                      </c:pt>
                      <c:pt idx="8">
                        <c:v>62761</c:v>
                      </c:pt>
                      <c:pt idx="9">
                        <c:v>59811</c:v>
                      </c:pt>
                      <c:pt idx="10">
                        <c:v>47790</c:v>
                      </c:pt>
                      <c:pt idx="11">
                        <c:v>58957</c:v>
                      </c:pt>
                      <c:pt idx="12">
                        <c:v>59037</c:v>
                      </c:pt>
                    </c:numCache>
                  </c:numRef>
                </c:val>
                <c:extLst xmlns:c15="http://schemas.microsoft.com/office/drawing/2012/chart">
                  <c:ext xmlns:c16="http://schemas.microsoft.com/office/drawing/2014/chart" uri="{C3380CC4-5D6E-409C-BE32-E72D297353CC}">
                    <c16:uniqueId val="{00000005-6FAC-47A3-A9E9-182809F8FDAE}"/>
                  </c:ext>
                </c:extLst>
              </c15:ser>
            </c15:filteredBarSeries>
          </c:ext>
        </c:extLst>
      </c:barChart>
      <c:catAx>
        <c:axId val="1360160208"/>
        <c:scaling>
          <c:orientation val="minMax"/>
        </c:scaling>
        <c:delete val="0"/>
        <c:axPos val="b"/>
        <c:majorGridlines>
          <c:spPr>
            <a:ln w="3175">
              <a:solidFill>
                <a:schemeClr val="bg1"/>
              </a:solidFill>
            </a:ln>
          </c:spPr>
        </c:majorGridlines>
        <c:numFmt formatCode="General" sourceLinked="1"/>
        <c:majorTickMark val="out"/>
        <c:minorTickMark val="none"/>
        <c:tickLblPos val="low"/>
        <c:spPr>
          <a:ln w="12700">
            <a:solidFill>
              <a:schemeClr val="bg1"/>
            </a:solidFill>
            <a:prstDash val="solid"/>
          </a:ln>
        </c:spPr>
        <c:txPr>
          <a:bodyPr rot="-5400000" vert="horz"/>
          <a:lstStyle/>
          <a:p>
            <a:pPr>
              <a:defRPr/>
            </a:pPr>
            <a:endParaRPr lang="it-IT"/>
          </a:p>
        </c:txPr>
        <c:crossAx val="1360160768"/>
        <c:crosses val="autoZero"/>
        <c:auto val="1"/>
        <c:lblAlgn val="ctr"/>
        <c:lblOffset val="0"/>
        <c:noMultiLvlLbl val="0"/>
      </c:catAx>
      <c:valAx>
        <c:axId val="1360160768"/>
        <c:scaling>
          <c:orientation val="minMax"/>
          <c:max val="100000"/>
          <c:min val="0"/>
        </c:scaling>
        <c:delete val="0"/>
        <c:axPos val="l"/>
        <c:majorGridlines>
          <c:spPr>
            <a:ln w="3175">
              <a:solidFill>
                <a:schemeClr val="bg1"/>
              </a:solidFill>
            </a:ln>
          </c:spPr>
        </c:majorGridlines>
        <c:numFmt formatCode="#,##0" sourceLinked="0"/>
        <c:majorTickMark val="out"/>
        <c:minorTickMark val="none"/>
        <c:tickLblPos val="nextTo"/>
        <c:spPr>
          <a:ln w="12700">
            <a:solidFill>
              <a:schemeClr val="bg1"/>
            </a:solidFill>
            <a:prstDash val="solid"/>
          </a:ln>
        </c:spPr>
        <c:txPr>
          <a:bodyPr rot="0" vert="horz"/>
          <a:lstStyle/>
          <a:p>
            <a:pPr>
              <a:defRPr/>
            </a:pPr>
            <a:endParaRPr lang="it-IT"/>
          </a:p>
        </c:txPr>
        <c:crossAx val="1360160208"/>
        <c:crosses val="autoZero"/>
        <c:crossBetween val="between"/>
        <c:majorUnit val="20000"/>
      </c:valAx>
      <c:spPr>
        <a:noFill/>
        <a:ln w="25400">
          <a:noFill/>
        </a:ln>
      </c:spPr>
    </c:plotArea>
    <c:legend>
      <c:legendPos val="r"/>
      <c:layout>
        <c:manualLayout>
          <c:xMode val="edge"/>
          <c:yMode val="edge"/>
          <c:x val="0"/>
          <c:y val="2.2174255931030895E-3"/>
          <c:w val="0.99420601551019716"/>
          <c:h val="0.23597347941795982"/>
        </c:manualLayout>
      </c:layout>
      <c:overlay val="0"/>
      <c:spPr>
        <a:noFill/>
        <a:ln w="25400">
          <a:noFill/>
        </a:ln>
      </c:sp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it-I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008874803119728E-2"/>
          <c:y val="0.21801930320150661"/>
          <c:w val="0.86608987171179719"/>
          <c:h val="0.39745409652457242"/>
        </c:manualLayout>
      </c:layout>
      <c:barChart>
        <c:barDir val="col"/>
        <c:grouping val="percentStacked"/>
        <c:varyColors val="0"/>
        <c:ser>
          <c:idx val="0"/>
          <c:order val="0"/>
          <c:tx>
            <c:strRef>
              <c:f>'Fig. 8 Div per reg 2022'!$C$2</c:f>
              <c:strCache>
                <c:ptCount val="1"/>
                <c:pt idx="0">
                  <c:v>Giudiziali presso i tribunali</c:v>
                </c:pt>
              </c:strCache>
            </c:strRef>
          </c:tx>
          <c:spPr>
            <a:solidFill>
              <a:srgbClr val="CC6600"/>
            </a:solidFill>
            <a:ln w="25400">
              <a:noFill/>
            </a:ln>
          </c:spPr>
          <c:invertIfNegative val="0"/>
          <c:cat>
            <c:strRef>
              <c:f>'Fig. 8 Div per reg 2022'!$B$3:$B$23</c:f>
              <c:strCache>
                <c:ptCount val="21"/>
                <c:pt idx="0">
                  <c:v>Piemonte</c:v>
                </c:pt>
                <c:pt idx="1">
                  <c:v>Valle d'Aosta-Vallée d'Aoste</c:v>
                </c:pt>
                <c:pt idx="2">
                  <c:v>Liguria</c:v>
                </c:pt>
                <c:pt idx="3">
                  <c:v>Lombardia</c:v>
                </c:pt>
                <c:pt idx="4">
                  <c:v>Bolzano/Bozen</c:v>
                </c:pt>
                <c:pt idx="5">
                  <c:v>Trento</c:v>
                </c:pt>
                <c:pt idx="6">
                  <c:v>Veneto</c:v>
                </c:pt>
                <c:pt idx="7">
                  <c:v>Friuli-Venezia Giulia</c:v>
                </c:pt>
                <c:pt idx="8">
                  <c:v>Emilia-Romagna</c:v>
                </c:pt>
                <c:pt idx="9">
                  <c:v>Toscana</c:v>
                </c:pt>
                <c:pt idx="10">
                  <c:v>Umbria</c:v>
                </c:pt>
                <c:pt idx="11">
                  <c:v>Marche</c:v>
                </c:pt>
                <c:pt idx="12">
                  <c:v>Lazio</c:v>
                </c:pt>
                <c:pt idx="13">
                  <c:v>Abruzzo</c:v>
                </c:pt>
                <c:pt idx="14">
                  <c:v>Molise</c:v>
                </c:pt>
                <c:pt idx="15">
                  <c:v>Campania</c:v>
                </c:pt>
                <c:pt idx="16">
                  <c:v>Puglia</c:v>
                </c:pt>
                <c:pt idx="17">
                  <c:v>Basilicata</c:v>
                </c:pt>
                <c:pt idx="18">
                  <c:v>Calabria</c:v>
                </c:pt>
                <c:pt idx="19">
                  <c:v>Sicilia</c:v>
                </c:pt>
                <c:pt idx="20">
                  <c:v>Sardegna</c:v>
                </c:pt>
              </c:strCache>
            </c:strRef>
          </c:cat>
          <c:val>
            <c:numRef>
              <c:f>'Fig. 8 Div per reg 2022'!$C$3:$C$23</c:f>
              <c:numCache>
                <c:formatCode>#,##0</c:formatCode>
                <c:ptCount val="21"/>
                <c:pt idx="0">
                  <c:v>1537</c:v>
                </c:pt>
                <c:pt idx="1">
                  <c:v>34</c:v>
                </c:pt>
                <c:pt idx="2">
                  <c:v>675</c:v>
                </c:pt>
                <c:pt idx="3">
                  <c:v>3174</c:v>
                </c:pt>
                <c:pt idx="4">
                  <c:v>95</c:v>
                </c:pt>
                <c:pt idx="5">
                  <c:v>127</c:v>
                </c:pt>
                <c:pt idx="6">
                  <c:v>1488</c:v>
                </c:pt>
                <c:pt idx="7">
                  <c:v>371</c:v>
                </c:pt>
                <c:pt idx="8">
                  <c:v>1195</c:v>
                </c:pt>
                <c:pt idx="9">
                  <c:v>1325</c:v>
                </c:pt>
                <c:pt idx="10">
                  <c:v>279</c:v>
                </c:pt>
                <c:pt idx="11">
                  <c:v>568</c:v>
                </c:pt>
                <c:pt idx="12">
                  <c:v>2091</c:v>
                </c:pt>
                <c:pt idx="13">
                  <c:v>565</c:v>
                </c:pt>
                <c:pt idx="14">
                  <c:v>114</c:v>
                </c:pt>
                <c:pt idx="15">
                  <c:v>2754</c:v>
                </c:pt>
                <c:pt idx="16">
                  <c:v>2247</c:v>
                </c:pt>
                <c:pt idx="17">
                  <c:v>223</c:v>
                </c:pt>
                <c:pt idx="18">
                  <c:v>810</c:v>
                </c:pt>
                <c:pt idx="19">
                  <c:v>2900</c:v>
                </c:pt>
                <c:pt idx="20">
                  <c:v>987</c:v>
                </c:pt>
              </c:numCache>
            </c:numRef>
          </c:val>
          <c:extLst>
            <c:ext xmlns:c16="http://schemas.microsoft.com/office/drawing/2014/chart" uri="{C3380CC4-5D6E-409C-BE32-E72D297353CC}">
              <c16:uniqueId val="{00000000-EC01-4BD6-9CD4-0C055B9434EC}"/>
            </c:ext>
          </c:extLst>
        </c:ser>
        <c:ser>
          <c:idx val="1"/>
          <c:order val="1"/>
          <c:tx>
            <c:strRef>
              <c:f>'Fig. 8 Div per reg 2022'!$D$2</c:f>
              <c:strCache>
                <c:ptCount val="1"/>
                <c:pt idx="0">
                  <c:v>Consensuali presso i Tribunali</c:v>
                </c:pt>
              </c:strCache>
            </c:strRef>
          </c:tx>
          <c:spPr>
            <a:solidFill>
              <a:srgbClr val="9BBB59"/>
            </a:solidFill>
            <a:ln w="25400">
              <a:noFill/>
            </a:ln>
          </c:spPr>
          <c:invertIfNegative val="0"/>
          <c:cat>
            <c:strRef>
              <c:f>'Fig. 8 Div per reg 2022'!$B$3:$B$23</c:f>
              <c:strCache>
                <c:ptCount val="21"/>
                <c:pt idx="0">
                  <c:v>Piemonte</c:v>
                </c:pt>
                <c:pt idx="1">
                  <c:v>Valle d'Aosta-Vallée d'Aoste</c:v>
                </c:pt>
                <c:pt idx="2">
                  <c:v>Liguria</c:v>
                </c:pt>
                <c:pt idx="3">
                  <c:v>Lombardia</c:v>
                </c:pt>
                <c:pt idx="4">
                  <c:v>Bolzano/Bozen</c:v>
                </c:pt>
                <c:pt idx="5">
                  <c:v>Trento</c:v>
                </c:pt>
                <c:pt idx="6">
                  <c:v>Veneto</c:v>
                </c:pt>
                <c:pt idx="7">
                  <c:v>Friuli-Venezia Giulia</c:v>
                </c:pt>
                <c:pt idx="8">
                  <c:v>Emilia-Romagna</c:v>
                </c:pt>
                <c:pt idx="9">
                  <c:v>Toscana</c:v>
                </c:pt>
                <c:pt idx="10">
                  <c:v>Umbria</c:v>
                </c:pt>
                <c:pt idx="11">
                  <c:v>Marche</c:v>
                </c:pt>
                <c:pt idx="12">
                  <c:v>Lazio</c:v>
                </c:pt>
                <c:pt idx="13">
                  <c:v>Abruzzo</c:v>
                </c:pt>
                <c:pt idx="14">
                  <c:v>Molise</c:v>
                </c:pt>
                <c:pt idx="15">
                  <c:v>Campania</c:v>
                </c:pt>
                <c:pt idx="16">
                  <c:v>Puglia</c:v>
                </c:pt>
                <c:pt idx="17">
                  <c:v>Basilicata</c:v>
                </c:pt>
                <c:pt idx="18">
                  <c:v>Calabria</c:v>
                </c:pt>
                <c:pt idx="19">
                  <c:v>Sicilia</c:v>
                </c:pt>
                <c:pt idx="20">
                  <c:v>Sardegna</c:v>
                </c:pt>
              </c:strCache>
            </c:strRef>
          </c:cat>
          <c:val>
            <c:numRef>
              <c:f>'Fig. 8 Div per reg 2022'!$D$3:$D$23</c:f>
              <c:numCache>
                <c:formatCode>#,##0</c:formatCode>
                <c:ptCount val="21"/>
                <c:pt idx="0">
                  <c:v>2799</c:v>
                </c:pt>
                <c:pt idx="1">
                  <c:v>87</c:v>
                </c:pt>
                <c:pt idx="2">
                  <c:v>974</c:v>
                </c:pt>
                <c:pt idx="3">
                  <c:v>6195</c:v>
                </c:pt>
                <c:pt idx="4">
                  <c:v>237</c:v>
                </c:pt>
                <c:pt idx="5">
                  <c:v>302</c:v>
                </c:pt>
                <c:pt idx="6">
                  <c:v>2624</c:v>
                </c:pt>
                <c:pt idx="7">
                  <c:v>595</c:v>
                </c:pt>
                <c:pt idx="8">
                  <c:v>2815</c:v>
                </c:pt>
                <c:pt idx="9">
                  <c:v>2275</c:v>
                </c:pt>
                <c:pt idx="10">
                  <c:v>550</c:v>
                </c:pt>
                <c:pt idx="11">
                  <c:v>911</c:v>
                </c:pt>
                <c:pt idx="12">
                  <c:v>3544</c:v>
                </c:pt>
                <c:pt idx="13">
                  <c:v>946</c:v>
                </c:pt>
                <c:pt idx="14">
                  <c:v>178</c:v>
                </c:pt>
                <c:pt idx="15">
                  <c:v>2476</c:v>
                </c:pt>
                <c:pt idx="16">
                  <c:v>2087</c:v>
                </c:pt>
                <c:pt idx="17">
                  <c:v>298</c:v>
                </c:pt>
                <c:pt idx="18">
                  <c:v>979</c:v>
                </c:pt>
                <c:pt idx="19">
                  <c:v>3384</c:v>
                </c:pt>
                <c:pt idx="20">
                  <c:v>916</c:v>
                </c:pt>
              </c:numCache>
            </c:numRef>
          </c:val>
          <c:extLst>
            <c:ext xmlns:c16="http://schemas.microsoft.com/office/drawing/2014/chart" uri="{C3380CC4-5D6E-409C-BE32-E72D297353CC}">
              <c16:uniqueId val="{00000001-EC01-4BD6-9CD4-0C055B9434EC}"/>
            </c:ext>
          </c:extLst>
        </c:ser>
        <c:ser>
          <c:idx val="2"/>
          <c:order val="2"/>
          <c:tx>
            <c:strRef>
              <c:f>'Fig. 8 Div per reg 2022'!$E$2</c:f>
              <c:strCache>
                <c:ptCount val="1"/>
                <c:pt idx="0">
                  <c:v>Consensuali con negoziazioni assistite da avvocati (ex art.6)</c:v>
                </c:pt>
              </c:strCache>
            </c:strRef>
          </c:tx>
          <c:spPr>
            <a:solidFill>
              <a:srgbClr val="1F497D"/>
            </a:solidFill>
            <a:ln w="25400">
              <a:noFill/>
            </a:ln>
          </c:spPr>
          <c:invertIfNegative val="0"/>
          <c:cat>
            <c:strRef>
              <c:f>'Fig. 8 Div per reg 2022'!$B$3:$B$23</c:f>
              <c:strCache>
                <c:ptCount val="21"/>
                <c:pt idx="0">
                  <c:v>Piemonte</c:v>
                </c:pt>
                <c:pt idx="1">
                  <c:v>Valle d'Aosta-Vallée d'Aoste</c:v>
                </c:pt>
                <c:pt idx="2">
                  <c:v>Liguria</c:v>
                </c:pt>
                <c:pt idx="3">
                  <c:v>Lombardia</c:v>
                </c:pt>
                <c:pt idx="4">
                  <c:v>Bolzano/Bozen</c:v>
                </c:pt>
                <c:pt idx="5">
                  <c:v>Trento</c:v>
                </c:pt>
                <c:pt idx="6">
                  <c:v>Veneto</c:v>
                </c:pt>
                <c:pt idx="7">
                  <c:v>Friuli-Venezia Giulia</c:v>
                </c:pt>
                <c:pt idx="8">
                  <c:v>Emilia-Romagna</c:v>
                </c:pt>
                <c:pt idx="9">
                  <c:v>Toscana</c:v>
                </c:pt>
                <c:pt idx="10">
                  <c:v>Umbria</c:v>
                </c:pt>
                <c:pt idx="11">
                  <c:v>Marche</c:v>
                </c:pt>
                <c:pt idx="12">
                  <c:v>Lazio</c:v>
                </c:pt>
                <c:pt idx="13">
                  <c:v>Abruzzo</c:v>
                </c:pt>
                <c:pt idx="14">
                  <c:v>Molise</c:v>
                </c:pt>
                <c:pt idx="15">
                  <c:v>Campania</c:v>
                </c:pt>
                <c:pt idx="16">
                  <c:v>Puglia</c:v>
                </c:pt>
                <c:pt idx="17">
                  <c:v>Basilicata</c:v>
                </c:pt>
                <c:pt idx="18">
                  <c:v>Calabria</c:v>
                </c:pt>
                <c:pt idx="19">
                  <c:v>Sicilia</c:v>
                </c:pt>
                <c:pt idx="20">
                  <c:v>Sardegna</c:v>
                </c:pt>
              </c:strCache>
            </c:strRef>
          </c:cat>
          <c:val>
            <c:numRef>
              <c:f>'Fig. 8 Div per reg 2022'!$E$3:$E$23</c:f>
              <c:numCache>
                <c:formatCode>#,##0</c:formatCode>
                <c:ptCount val="21"/>
                <c:pt idx="0">
                  <c:v>358</c:v>
                </c:pt>
                <c:pt idx="1">
                  <c:v>3</c:v>
                </c:pt>
                <c:pt idx="2">
                  <c:v>210</c:v>
                </c:pt>
                <c:pt idx="3">
                  <c:v>914</c:v>
                </c:pt>
                <c:pt idx="4">
                  <c:v>4</c:v>
                </c:pt>
                <c:pt idx="5">
                  <c:v>16</c:v>
                </c:pt>
                <c:pt idx="6">
                  <c:v>355</c:v>
                </c:pt>
                <c:pt idx="7">
                  <c:v>116</c:v>
                </c:pt>
                <c:pt idx="8">
                  <c:v>273</c:v>
                </c:pt>
                <c:pt idx="9">
                  <c:v>543</c:v>
                </c:pt>
                <c:pt idx="10">
                  <c:v>86</c:v>
                </c:pt>
                <c:pt idx="11">
                  <c:v>61</c:v>
                </c:pt>
                <c:pt idx="12">
                  <c:v>1274</c:v>
                </c:pt>
                <c:pt idx="13">
                  <c:v>67</c:v>
                </c:pt>
                <c:pt idx="14">
                  <c:v>30</c:v>
                </c:pt>
                <c:pt idx="15">
                  <c:v>846</c:v>
                </c:pt>
                <c:pt idx="16">
                  <c:v>505</c:v>
                </c:pt>
                <c:pt idx="17">
                  <c:v>60</c:v>
                </c:pt>
                <c:pt idx="18">
                  <c:v>163</c:v>
                </c:pt>
                <c:pt idx="19">
                  <c:v>783</c:v>
                </c:pt>
                <c:pt idx="20">
                  <c:v>64</c:v>
                </c:pt>
              </c:numCache>
            </c:numRef>
          </c:val>
          <c:extLst>
            <c:ext xmlns:c16="http://schemas.microsoft.com/office/drawing/2014/chart" uri="{C3380CC4-5D6E-409C-BE32-E72D297353CC}">
              <c16:uniqueId val="{00000002-EC01-4BD6-9CD4-0C055B9434EC}"/>
            </c:ext>
          </c:extLst>
        </c:ser>
        <c:ser>
          <c:idx val="4"/>
          <c:order val="3"/>
          <c:tx>
            <c:strRef>
              <c:f>'Fig. 8 Div per reg 2022'!$F$2</c:f>
              <c:strCache>
                <c:ptCount val="1"/>
                <c:pt idx="0">
                  <c:v>Consensuali presso lo stato civile (ex art.12)</c:v>
                </c:pt>
              </c:strCache>
            </c:strRef>
          </c:tx>
          <c:spPr>
            <a:solidFill>
              <a:srgbClr val="888888"/>
            </a:solidFill>
            <a:ln w="25400">
              <a:noFill/>
            </a:ln>
          </c:spPr>
          <c:invertIfNegative val="0"/>
          <c:cat>
            <c:strRef>
              <c:f>'Fig. 8 Div per reg 2022'!$B$3:$B$23</c:f>
              <c:strCache>
                <c:ptCount val="21"/>
                <c:pt idx="0">
                  <c:v>Piemonte</c:v>
                </c:pt>
                <c:pt idx="1">
                  <c:v>Valle d'Aosta-Vallée d'Aoste</c:v>
                </c:pt>
                <c:pt idx="2">
                  <c:v>Liguria</c:v>
                </c:pt>
                <c:pt idx="3">
                  <c:v>Lombardia</c:v>
                </c:pt>
                <c:pt idx="4">
                  <c:v>Bolzano/Bozen</c:v>
                </c:pt>
                <c:pt idx="5">
                  <c:v>Trento</c:v>
                </c:pt>
                <c:pt idx="6">
                  <c:v>Veneto</c:v>
                </c:pt>
                <c:pt idx="7">
                  <c:v>Friuli-Venezia Giulia</c:v>
                </c:pt>
                <c:pt idx="8">
                  <c:v>Emilia-Romagna</c:v>
                </c:pt>
                <c:pt idx="9">
                  <c:v>Toscana</c:v>
                </c:pt>
                <c:pt idx="10">
                  <c:v>Umbria</c:v>
                </c:pt>
                <c:pt idx="11">
                  <c:v>Marche</c:v>
                </c:pt>
                <c:pt idx="12">
                  <c:v>Lazio</c:v>
                </c:pt>
                <c:pt idx="13">
                  <c:v>Abruzzo</c:v>
                </c:pt>
                <c:pt idx="14">
                  <c:v>Molise</c:v>
                </c:pt>
                <c:pt idx="15">
                  <c:v>Campania</c:v>
                </c:pt>
                <c:pt idx="16">
                  <c:v>Puglia</c:v>
                </c:pt>
                <c:pt idx="17">
                  <c:v>Basilicata</c:v>
                </c:pt>
                <c:pt idx="18">
                  <c:v>Calabria</c:v>
                </c:pt>
                <c:pt idx="19">
                  <c:v>Sicilia</c:v>
                </c:pt>
                <c:pt idx="20">
                  <c:v>Sardegna</c:v>
                </c:pt>
              </c:strCache>
            </c:strRef>
          </c:cat>
          <c:val>
            <c:numRef>
              <c:f>'Fig. 8 Div per reg 2022'!$F$3:$F$23</c:f>
              <c:numCache>
                <c:formatCode>#,##0</c:formatCode>
                <c:ptCount val="21"/>
                <c:pt idx="0">
                  <c:v>1888</c:v>
                </c:pt>
                <c:pt idx="1">
                  <c:v>54</c:v>
                </c:pt>
                <c:pt idx="2">
                  <c:v>597</c:v>
                </c:pt>
                <c:pt idx="3">
                  <c:v>3768</c:v>
                </c:pt>
                <c:pt idx="4">
                  <c:v>180</c:v>
                </c:pt>
                <c:pt idx="5">
                  <c:v>195</c:v>
                </c:pt>
                <c:pt idx="6">
                  <c:v>1662</c:v>
                </c:pt>
                <c:pt idx="7">
                  <c:v>455</c:v>
                </c:pt>
                <c:pt idx="8">
                  <c:v>1831</c:v>
                </c:pt>
                <c:pt idx="9">
                  <c:v>1354</c:v>
                </c:pt>
                <c:pt idx="10">
                  <c:v>254</c:v>
                </c:pt>
                <c:pt idx="11">
                  <c:v>458</c:v>
                </c:pt>
                <c:pt idx="12">
                  <c:v>1236</c:v>
                </c:pt>
                <c:pt idx="13">
                  <c:v>278</c:v>
                </c:pt>
                <c:pt idx="14">
                  <c:v>44</c:v>
                </c:pt>
                <c:pt idx="15">
                  <c:v>936</c:v>
                </c:pt>
                <c:pt idx="16">
                  <c:v>625</c:v>
                </c:pt>
                <c:pt idx="17">
                  <c:v>43</c:v>
                </c:pt>
                <c:pt idx="18">
                  <c:v>176</c:v>
                </c:pt>
                <c:pt idx="19">
                  <c:v>675</c:v>
                </c:pt>
                <c:pt idx="20">
                  <c:v>425</c:v>
                </c:pt>
              </c:numCache>
            </c:numRef>
          </c:val>
          <c:extLst>
            <c:ext xmlns:c16="http://schemas.microsoft.com/office/drawing/2014/chart" uri="{C3380CC4-5D6E-409C-BE32-E72D297353CC}">
              <c16:uniqueId val="{00000003-EC01-4BD6-9CD4-0C055B9434EC}"/>
            </c:ext>
          </c:extLst>
        </c:ser>
        <c:dLbls>
          <c:showLegendKey val="0"/>
          <c:showVal val="0"/>
          <c:showCatName val="0"/>
          <c:showSerName val="0"/>
          <c:showPercent val="0"/>
          <c:showBubbleSize val="0"/>
        </c:dLbls>
        <c:gapWidth val="90"/>
        <c:overlap val="100"/>
        <c:axId val="1360165808"/>
        <c:axId val="1360166368"/>
      </c:barChart>
      <c:lineChart>
        <c:grouping val="standard"/>
        <c:varyColors val="0"/>
        <c:ser>
          <c:idx val="3"/>
          <c:order val="4"/>
          <c:tx>
            <c:strRef>
              <c:f>'Fig. 8 Div per reg 2022'!$G$2</c:f>
              <c:strCache>
                <c:ptCount val="1"/>
                <c:pt idx="0">
                  <c:v>Divorzi per 1.000 abitanti (scala di dx)</c:v>
                </c:pt>
              </c:strCache>
            </c:strRef>
          </c:tx>
          <c:spPr>
            <a:ln>
              <a:noFill/>
            </a:ln>
          </c:spPr>
          <c:marker>
            <c:symbol val="diamond"/>
            <c:size val="7"/>
            <c:spPr>
              <a:solidFill>
                <a:srgbClr val="E42618"/>
              </a:solidFill>
              <a:ln>
                <a:noFill/>
              </a:ln>
            </c:spPr>
          </c:marker>
          <c:cat>
            <c:strRef>
              <c:f>'Fig. 8 Div per reg 2022'!$B$3:$B$23</c:f>
              <c:strCache>
                <c:ptCount val="21"/>
                <c:pt idx="0">
                  <c:v>Piemonte</c:v>
                </c:pt>
                <c:pt idx="1">
                  <c:v>Valle d'Aosta-Vallée d'Aoste</c:v>
                </c:pt>
                <c:pt idx="2">
                  <c:v>Liguria</c:v>
                </c:pt>
                <c:pt idx="3">
                  <c:v>Lombardia</c:v>
                </c:pt>
                <c:pt idx="4">
                  <c:v>Bolzano/Bozen</c:v>
                </c:pt>
                <c:pt idx="5">
                  <c:v>Trento</c:v>
                </c:pt>
                <c:pt idx="6">
                  <c:v>Veneto</c:v>
                </c:pt>
                <c:pt idx="7">
                  <c:v>Friuli-Venezia Giulia</c:v>
                </c:pt>
                <c:pt idx="8">
                  <c:v>Emilia-Romagna</c:v>
                </c:pt>
                <c:pt idx="9">
                  <c:v>Toscana</c:v>
                </c:pt>
                <c:pt idx="10">
                  <c:v>Umbria</c:v>
                </c:pt>
                <c:pt idx="11">
                  <c:v>Marche</c:v>
                </c:pt>
                <c:pt idx="12">
                  <c:v>Lazio</c:v>
                </c:pt>
                <c:pt idx="13">
                  <c:v>Abruzzo</c:v>
                </c:pt>
                <c:pt idx="14">
                  <c:v>Molise</c:v>
                </c:pt>
                <c:pt idx="15">
                  <c:v>Campania</c:v>
                </c:pt>
                <c:pt idx="16">
                  <c:v>Puglia</c:v>
                </c:pt>
                <c:pt idx="17">
                  <c:v>Basilicata</c:v>
                </c:pt>
                <c:pt idx="18">
                  <c:v>Calabria</c:v>
                </c:pt>
                <c:pt idx="19">
                  <c:v>Sicilia</c:v>
                </c:pt>
                <c:pt idx="20">
                  <c:v>Sardegna</c:v>
                </c:pt>
              </c:strCache>
            </c:strRef>
          </c:cat>
          <c:val>
            <c:numRef>
              <c:f>'Fig. 8 Div per reg 2022'!$G$3:$G$23</c:f>
              <c:numCache>
                <c:formatCode>#,##0.0</c:formatCode>
                <c:ptCount val="21"/>
                <c:pt idx="0">
                  <c:v>1.5480447761720582</c:v>
                </c:pt>
                <c:pt idx="1">
                  <c:v>1.4444124365533721</c:v>
                </c:pt>
                <c:pt idx="2">
                  <c:v>1.6291474106439841</c:v>
                </c:pt>
                <c:pt idx="3">
                  <c:v>1.4092180875563616</c:v>
                </c:pt>
                <c:pt idx="4">
                  <c:v>0.96455719627897751</c:v>
                </c:pt>
                <c:pt idx="5">
                  <c:v>1.1795560814409753</c:v>
                </c:pt>
                <c:pt idx="6">
                  <c:v>1.2631662253794393</c:v>
                </c:pt>
                <c:pt idx="7">
                  <c:v>1.285362629900445</c:v>
                </c:pt>
                <c:pt idx="8">
                  <c:v>1.3786736726319746</c:v>
                </c:pt>
                <c:pt idx="9">
                  <c:v>1.4981740918086099</c:v>
                </c:pt>
                <c:pt idx="10">
                  <c:v>1.3624875362693831</c:v>
                </c:pt>
                <c:pt idx="11">
                  <c:v>1.3436056174550375</c:v>
                </c:pt>
                <c:pt idx="12">
                  <c:v>1.4244832378810055</c:v>
                </c:pt>
                <c:pt idx="13">
                  <c:v>1.4578089586916165</c:v>
                </c:pt>
                <c:pt idx="14">
                  <c:v>1.2590191002829352</c:v>
                </c:pt>
                <c:pt idx="15">
                  <c:v>1.2521185973450337</c:v>
                </c:pt>
                <c:pt idx="16">
                  <c:v>1.3974694396272869</c:v>
                </c:pt>
                <c:pt idx="17">
                  <c:v>1.1581549700438762</c:v>
                </c:pt>
                <c:pt idx="18">
                  <c:v>1.153013819910945</c:v>
                </c:pt>
                <c:pt idx="19">
                  <c:v>1.6103193557391391</c:v>
                </c:pt>
                <c:pt idx="20">
                  <c:v>1.5152057420723288</c:v>
                </c:pt>
              </c:numCache>
            </c:numRef>
          </c:val>
          <c:smooth val="0"/>
          <c:extLst>
            <c:ext xmlns:c16="http://schemas.microsoft.com/office/drawing/2014/chart" uri="{C3380CC4-5D6E-409C-BE32-E72D297353CC}">
              <c16:uniqueId val="{00000004-EC01-4BD6-9CD4-0C055B9434EC}"/>
            </c:ext>
          </c:extLst>
        </c:ser>
        <c:dLbls>
          <c:showLegendKey val="0"/>
          <c:showVal val="0"/>
          <c:showCatName val="0"/>
          <c:showSerName val="0"/>
          <c:showPercent val="0"/>
          <c:showBubbleSize val="0"/>
        </c:dLbls>
        <c:marker val="1"/>
        <c:smooth val="0"/>
        <c:axId val="1360167488"/>
        <c:axId val="1360166928"/>
      </c:lineChart>
      <c:catAx>
        <c:axId val="1360165808"/>
        <c:scaling>
          <c:orientation val="minMax"/>
        </c:scaling>
        <c:delete val="0"/>
        <c:axPos val="b"/>
        <c:majorGridlines>
          <c:spPr>
            <a:ln>
              <a:solidFill>
                <a:schemeClr val="bg1"/>
              </a:solidFill>
            </a:ln>
          </c:spPr>
        </c:majorGridlines>
        <c:minorGridlines>
          <c:spPr>
            <a:ln>
              <a:solidFill>
                <a:schemeClr val="bg1"/>
              </a:solidFill>
            </a:ln>
          </c:spPr>
        </c:minorGridlines>
        <c:numFmt formatCode="General" sourceLinked="0"/>
        <c:majorTickMark val="out"/>
        <c:minorTickMark val="none"/>
        <c:tickLblPos val="nextTo"/>
        <c:spPr>
          <a:ln w="12700">
            <a:solidFill>
              <a:schemeClr val="bg1"/>
            </a:solidFill>
          </a:ln>
        </c:spPr>
        <c:txPr>
          <a:bodyPr rot="-5400000" vert="horz"/>
          <a:lstStyle/>
          <a:p>
            <a:pPr>
              <a:defRPr sz="800" b="1"/>
            </a:pPr>
            <a:endParaRPr lang="it-IT"/>
          </a:p>
        </c:txPr>
        <c:crossAx val="1360166368"/>
        <c:crosses val="autoZero"/>
        <c:auto val="1"/>
        <c:lblAlgn val="ctr"/>
        <c:lblOffset val="100"/>
        <c:noMultiLvlLbl val="0"/>
      </c:catAx>
      <c:valAx>
        <c:axId val="1360166368"/>
        <c:scaling>
          <c:orientation val="minMax"/>
          <c:max val="1"/>
          <c:min val="0"/>
        </c:scaling>
        <c:delete val="0"/>
        <c:axPos val="l"/>
        <c:majorGridlines>
          <c:spPr>
            <a:ln w="3175">
              <a:solidFill>
                <a:schemeClr val="bg1"/>
              </a:solidFill>
            </a:ln>
          </c:spPr>
        </c:majorGridlines>
        <c:numFmt formatCode="0%" sourceLinked="1"/>
        <c:majorTickMark val="out"/>
        <c:minorTickMark val="none"/>
        <c:tickLblPos val="nextTo"/>
        <c:spPr>
          <a:ln w="12700">
            <a:solidFill>
              <a:schemeClr val="bg1"/>
            </a:solidFill>
          </a:ln>
        </c:spPr>
        <c:crossAx val="1360165808"/>
        <c:crosses val="autoZero"/>
        <c:crossBetween val="between"/>
      </c:valAx>
      <c:valAx>
        <c:axId val="1360166928"/>
        <c:scaling>
          <c:orientation val="minMax"/>
          <c:max val="1.8"/>
          <c:min val="0"/>
        </c:scaling>
        <c:delete val="0"/>
        <c:axPos val="r"/>
        <c:numFmt formatCode="#,##0.0" sourceLinked="0"/>
        <c:majorTickMark val="out"/>
        <c:minorTickMark val="none"/>
        <c:tickLblPos val="nextTo"/>
        <c:spPr>
          <a:ln w="12700">
            <a:solidFill>
              <a:schemeClr val="bg1"/>
            </a:solidFill>
          </a:ln>
        </c:spPr>
        <c:crossAx val="1360167488"/>
        <c:crosses val="max"/>
        <c:crossBetween val="between"/>
        <c:majorUnit val="0.30000000000000004"/>
      </c:valAx>
      <c:catAx>
        <c:axId val="1360167488"/>
        <c:scaling>
          <c:orientation val="minMax"/>
        </c:scaling>
        <c:delete val="1"/>
        <c:axPos val="b"/>
        <c:numFmt formatCode="General" sourceLinked="1"/>
        <c:majorTickMark val="out"/>
        <c:minorTickMark val="none"/>
        <c:tickLblPos val="nextTo"/>
        <c:crossAx val="1360166928"/>
        <c:crosses val="autoZero"/>
        <c:auto val="1"/>
        <c:lblAlgn val="ctr"/>
        <c:lblOffset val="100"/>
        <c:noMultiLvlLbl val="0"/>
      </c:catAx>
      <c:spPr>
        <a:noFill/>
      </c:spPr>
    </c:plotArea>
    <c:legend>
      <c:legendPos val="t"/>
      <c:layout>
        <c:manualLayout>
          <c:xMode val="edge"/>
          <c:yMode val="edge"/>
          <c:x val="1.8099841269841269E-2"/>
          <c:y val="1.0931261770244819E-2"/>
          <c:w val="0.97753949631923942"/>
          <c:h val="0.16877824858757062"/>
        </c:manualLayout>
      </c:layout>
      <c:overlay val="0"/>
      <c:txPr>
        <a:bodyPr/>
        <a:lstStyle/>
        <a:p>
          <a:pPr>
            <a:defRPr sz="800">
              <a:solidFill>
                <a:sysClr val="windowText" lastClr="000000"/>
              </a:solidFill>
            </a:defRPr>
          </a:pPr>
          <a:endParaRPr lang="it-IT"/>
        </a:p>
      </c:txPr>
    </c:legend>
    <c:plotVisOnly val="1"/>
    <c:dispBlanksAs val="gap"/>
    <c:showDLblsOverMax val="0"/>
  </c:chart>
  <c:spPr>
    <a:noFill/>
    <a:ln>
      <a:noFill/>
    </a:ln>
  </c:spPr>
  <c:txPr>
    <a:bodyPr/>
    <a:lstStyle/>
    <a:p>
      <a:pPr>
        <a:defRPr sz="900">
          <a:latin typeface="Arial Narrow" panose="020B0606020202030204" pitchFamily="34" charset="0"/>
        </a:defRPr>
      </a:pPr>
      <a:endParaRPr lang="it-IT"/>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D1792-F922-4459-ADC9-92A78B821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8177</Words>
  <Characters>48333</Characters>
  <Application>Microsoft Office Word</Application>
  <DocSecurity>0</DocSecurity>
  <Lines>402</Lines>
  <Paragraphs>112</Paragraphs>
  <ScaleCrop>false</ScaleCrop>
  <HeadingPairs>
    <vt:vector size="2" baseType="variant">
      <vt:variant>
        <vt:lpstr>Titolo</vt:lpstr>
      </vt:variant>
      <vt:variant>
        <vt:i4>1</vt:i4>
      </vt:variant>
    </vt:vector>
  </HeadingPairs>
  <TitlesOfParts>
    <vt:vector size="1" baseType="lpstr">
      <vt:lpstr/>
    </vt:vector>
  </TitlesOfParts>
  <Company>ISTAT</Company>
  <LinksUpToDate>false</LinksUpToDate>
  <CharactersWithSpaces>56398</CharactersWithSpaces>
  <SharedDoc>false</SharedDoc>
  <HLinks>
    <vt:vector size="18" baseType="variant">
      <vt:variant>
        <vt:i4>4456451</vt:i4>
      </vt:variant>
      <vt:variant>
        <vt:i4>3</vt:i4>
      </vt:variant>
      <vt:variant>
        <vt:i4>0</vt:i4>
      </vt:variant>
      <vt:variant>
        <vt:i4>5</vt:i4>
      </vt:variant>
      <vt:variant>
        <vt:lpwstr>http://demo.istat.it/</vt:lpwstr>
      </vt:variant>
      <vt:variant>
        <vt:lpwstr/>
      </vt:variant>
      <vt:variant>
        <vt:i4>5374032</vt:i4>
      </vt:variant>
      <vt:variant>
        <vt:i4>0</vt:i4>
      </vt:variant>
      <vt:variant>
        <vt:i4>0</vt:i4>
      </vt:variant>
      <vt:variant>
        <vt:i4>5</vt:i4>
      </vt:variant>
      <vt:variant>
        <vt:lpwstr>http://www.istat.it/it/archivio/99464</vt:lpwstr>
      </vt:variant>
      <vt:variant>
        <vt:lpwstr/>
      </vt:variant>
      <vt:variant>
        <vt:i4>2228278</vt:i4>
      </vt:variant>
      <vt:variant>
        <vt:i4>0</vt:i4>
      </vt:variant>
      <vt:variant>
        <vt:i4>0</vt:i4>
      </vt:variant>
      <vt:variant>
        <vt:i4>5</vt:i4>
      </vt:variant>
      <vt:variant>
        <vt:lpwstr>http://epp.eurostat.ec.europa.eu/portal/page/portal/population/data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Maura Simone</dc:creator>
  <cp:lastModifiedBy>Lidia Fagiolo</cp:lastModifiedBy>
  <cp:revision>16</cp:revision>
  <cp:lastPrinted>2023-02-27T11:48:00Z</cp:lastPrinted>
  <dcterms:created xsi:type="dcterms:W3CDTF">2023-12-13T12:52:00Z</dcterms:created>
  <dcterms:modified xsi:type="dcterms:W3CDTF">2023-12-15T14:21:00Z</dcterms:modified>
</cp:coreProperties>
</file>