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B37BF" w14:textId="4D9E05DF" w:rsidR="00667FFE" w:rsidRDefault="008A1AD0" w:rsidP="00763B51">
      <w:pPr>
        <w:autoSpaceDE w:val="0"/>
        <w:autoSpaceDN w:val="0"/>
        <w:adjustRightInd w:val="0"/>
        <w:spacing w:after="120"/>
        <w:ind w:left="-426"/>
        <w:rPr>
          <w:rFonts w:ascii="Arial Narrow" w:hAnsi="Arial Narrow" w:cs="Arial"/>
          <w:bCs/>
          <w:color w:val="000000"/>
          <w:sz w:val="26"/>
          <w:szCs w:val="26"/>
        </w:rPr>
      </w:pPr>
      <w:r>
        <w:rPr>
          <w:rFonts w:ascii="Arial Narrow" w:hAnsi="Arial Narrow" w:cs="Arial"/>
          <w:bCs/>
          <w:color w:val="000000"/>
          <w:sz w:val="26"/>
          <w:szCs w:val="26"/>
        </w:rPr>
        <w:tab/>
      </w:r>
    </w:p>
    <w:p w14:paraId="1E85585E" w14:textId="344A731B" w:rsidR="0047746A" w:rsidRPr="007D528F" w:rsidRDefault="00913B8C" w:rsidP="00154B7E">
      <w:pPr>
        <w:autoSpaceDE w:val="0"/>
        <w:autoSpaceDN w:val="0"/>
        <w:adjustRightInd w:val="0"/>
        <w:spacing w:after="120"/>
        <w:rPr>
          <w:rFonts w:ascii="Arial Narrow" w:hAnsi="Arial Narrow" w:cs="Arial"/>
          <w:b/>
          <w:bCs/>
          <w:color w:val="E42618"/>
          <w:sz w:val="32"/>
          <w:szCs w:val="32"/>
        </w:rPr>
      </w:pPr>
      <w:r w:rsidRPr="007D528F">
        <w:rPr>
          <w:rFonts w:ascii="Arial Narrow" w:hAnsi="Arial Narrow" w:cs="Arial"/>
          <w:b/>
          <w:bCs/>
          <w:color w:val="E42618"/>
          <w:sz w:val="32"/>
          <w:szCs w:val="32"/>
        </w:rPr>
        <w:t>MIGRAZIONI INTERNE E INTERNAZIONALI DELLA POPOLAZIONE RESIDENTE</w:t>
      </w:r>
      <w:r w:rsidR="007A1363" w:rsidRPr="007D528F">
        <w:rPr>
          <w:rFonts w:ascii="Arial Narrow" w:hAnsi="Arial Narrow" w:cs="Arial"/>
          <w:b/>
          <w:bCs/>
          <w:color w:val="E42618"/>
          <w:sz w:val="32"/>
          <w:szCs w:val="32"/>
        </w:rPr>
        <w:t xml:space="preserve"> </w:t>
      </w:r>
      <w:r w:rsidR="00F7614B" w:rsidRPr="007D528F">
        <w:rPr>
          <w:rFonts w:ascii="Arial Narrow" w:hAnsi="Arial Narrow" w:cs="Arial"/>
          <w:b/>
          <w:bCs/>
          <w:color w:val="A6A6A6" w:themeColor="background1" w:themeShade="A6"/>
          <w:sz w:val="32"/>
          <w:szCs w:val="32"/>
        </w:rPr>
        <w:t>|</w:t>
      </w:r>
      <w:r w:rsidR="00EB1D63" w:rsidRPr="007D528F">
        <w:rPr>
          <w:rFonts w:ascii="Arial Narrow" w:hAnsi="Arial Narrow" w:cs="Arial"/>
          <w:b/>
          <w:bCs/>
          <w:color w:val="E42618"/>
          <w:sz w:val="32"/>
          <w:szCs w:val="32"/>
        </w:rPr>
        <w:t xml:space="preserve"> </w:t>
      </w:r>
      <w:r w:rsidR="002A5447" w:rsidRPr="007D528F">
        <w:rPr>
          <w:rFonts w:ascii="Arial Narrow" w:hAnsi="Arial Narrow" w:cs="Arial"/>
          <w:b/>
          <w:bCs/>
          <w:color w:val="E42618"/>
          <w:sz w:val="32"/>
          <w:szCs w:val="32"/>
        </w:rPr>
        <w:t>ANN</w:t>
      </w:r>
      <w:r w:rsidR="00EB7761" w:rsidRPr="007D528F">
        <w:rPr>
          <w:rFonts w:ascii="Arial Narrow" w:hAnsi="Arial Narrow" w:cs="Arial"/>
          <w:b/>
          <w:bCs/>
          <w:color w:val="E42618"/>
          <w:sz w:val="32"/>
          <w:szCs w:val="32"/>
        </w:rPr>
        <w:t>I</w:t>
      </w:r>
      <w:r w:rsidR="002A5447" w:rsidRPr="007D528F">
        <w:rPr>
          <w:rFonts w:ascii="Arial Narrow" w:hAnsi="Arial Narrow" w:cs="Arial"/>
          <w:b/>
          <w:bCs/>
          <w:color w:val="E42618"/>
          <w:sz w:val="32"/>
          <w:szCs w:val="32"/>
        </w:rPr>
        <w:t xml:space="preserve"> 20</w:t>
      </w:r>
      <w:r w:rsidR="004069F0" w:rsidRPr="007D528F">
        <w:rPr>
          <w:rFonts w:ascii="Arial Narrow" w:hAnsi="Arial Narrow" w:cs="Arial"/>
          <w:b/>
          <w:bCs/>
          <w:color w:val="E42618"/>
          <w:sz w:val="32"/>
          <w:szCs w:val="32"/>
        </w:rPr>
        <w:t>2</w:t>
      </w:r>
      <w:r w:rsidR="00A43883">
        <w:rPr>
          <w:rFonts w:ascii="Arial Narrow" w:hAnsi="Arial Narrow" w:cs="Arial"/>
          <w:b/>
          <w:bCs/>
          <w:color w:val="E42618"/>
          <w:sz w:val="32"/>
          <w:szCs w:val="32"/>
        </w:rPr>
        <w:t>3</w:t>
      </w:r>
      <w:r w:rsidR="00194275" w:rsidRPr="007D528F">
        <w:rPr>
          <w:rFonts w:ascii="Arial Narrow" w:hAnsi="Arial Narrow" w:cs="Arial"/>
          <w:b/>
          <w:bCs/>
          <w:color w:val="E42618"/>
          <w:sz w:val="32"/>
          <w:szCs w:val="32"/>
        </w:rPr>
        <w:t>-202</w:t>
      </w:r>
      <w:r w:rsidR="00A43883">
        <w:rPr>
          <w:rFonts w:ascii="Arial Narrow" w:hAnsi="Arial Narrow" w:cs="Arial"/>
          <w:b/>
          <w:bCs/>
          <w:color w:val="E42618"/>
          <w:sz w:val="32"/>
          <w:szCs w:val="32"/>
        </w:rPr>
        <w:t>4</w:t>
      </w:r>
    </w:p>
    <w:p w14:paraId="7C9BD8B3" w14:textId="77777777" w:rsidR="007E6EAA" w:rsidRPr="0047746A" w:rsidRDefault="007E6EAA" w:rsidP="00154B7E">
      <w:pPr>
        <w:tabs>
          <w:tab w:val="left" w:pos="851"/>
        </w:tabs>
        <w:autoSpaceDE w:val="0"/>
        <w:autoSpaceDN w:val="0"/>
        <w:adjustRightInd w:val="0"/>
        <w:jc w:val="both"/>
        <w:rPr>
          <w:rFonts w:ascii="Arial Narrow" w:hAnsi="Arial Narrow" w:cs="Arial"/>
          <w:bCs/>
          <w:color w:val="1F497D" w:themeColor="text2"/>
          <w:sz w:val="18"/>
          <w:szCs w:val="52"/>
        </w:rPr>
      </w:pPr>
      <w:bookmarkStart w:id="0" w:name="_GoBack"/>
      <w:bookmarkEnd w:id="0"/>
    </w:p>
    <w:p w14:paraId="55E5A71A" w14:textId="20C9ADDE" w:rsidR="001D5FE8" w:rsidRDefault="00E2152C" w:rsidP="00106723">
      <w:pPr>
        <w:spacing w:after="120"/>
        <w:jc w:val="both"/>
        <w:outlineLvl w:val="0"/>
        <w:rPr>
          <w:rFonts w:ascii="Georgia" w:hAnsi="Georgia" w:cs="Arial"/>
          <w:bCs/>
          <w:color w:val="1F497D" w:themeColor="text2"/>
          <w:spacing w:val="-16"/>
          <w:sz w:val="52"/>
          <w:szCs w:val="52"/>
        </w:rPr>
      </w:pPr>
      <w:r>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14:anchorId="5391815D" wp14:editId="5F9AB28C">
                <wp:simplePos x="0" y="0"/>
                <wp:positionH relativeFrom="column">
                  <wp:posOffset>-528955</wp:posOffset>
                </wp:positionH>
                <wp:positionV relativeFrom="paragraph">
                  <wp:posOffset>384947</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599A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30.3pt;width:34.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" adj="12209" fillcolor="#e42618" strokecolor="#e42618" strokeweight="2pt">
                <v:path arrowok="t"/>
              </v:shape>
            </w:pict>
          </mc:Fallback>
        </mc:AlternateContent>
      </w:r>
      <w:r w:rsidR="00DA7F4C">
        <w:rPr>
          <w:rFonts w:ascii="Georgia" w:hAnsi="Georgia" w:cs="Arial"/>
          <w:bCs/>
          <w:color w:val="1F497D" w:themeColor="text2"/>
          <w:spacing w:val="-16"/>
          <w:sz w:val="52"/>
          <w:szCs w:val="52"/>
        </w:rPr>
        <w:t>R</w:t>
      </w:r>
      <w:r w:rsidR="001D5FE8">
        <w:rPr>
          <w:rFonts w:ascii="Georgia" w:hAnsi="Georgia" w:cs="Arial"/>
          <w:bCs/>
          <w:color w:val="1F497D" w:themeColor="text2"/>
          <w:spacing w:val="-16"/>
          <w:sz w:val="52"/>
          <w:szCs w:val="52"/>
        </w:rPr>
        <w:t xml:space="preserve">ecord di espatri e di </w:t>
      </w:r>
      <w:r w:rsidR="00EC1777">
        <w:rPr>
          <w:rFonts w:ascii="Georgia" w:hAnsi="Georgia" w:cs="Arial"/>
          <w:bCs/>
          <w:color w:val="1F497D" w:themeColor="text2"/>
          <w:spacing w:val="-16"/>
          <w:sz w:val="52"/>
          <w:szCs w:val="52"/>
        </w:rPr>
        <w:t>im</w:t>
      </w:r>
      <w:r w:rsidR="00106723">
        <w:rPr>
          <w:rFonts w:ascii="Georgia" w:hAnsi="Georgia" w:cs="Arial"/>
          <w:bCs/>
          <w:color w:val="1F497D" w:themeColor="text2"/>
          <w:spacing w:val="-16"/>
          <w:sz w:val="52"/>
          <w:szCs w:val="52"/>
        </w:rPr>
        <w:t>migrazion</w:t>
      </w:r>
      <w:r w:rsidR="00EB7761">
        <w:rPr>
          <w:rFonts w:ascii="Georgia" w:hAnsi="Georgia" w:cs="Arial"/>
          <w:bCs/>
          <w:color w:val="1F497D" w:themeColor="text2"/>
          <w:spacing w:val="-16"/>
          <w:sz w:val="52"/>
          <w:szCs w:val="52"/>
        </w:rPr>
        <w:t>e</w:t>
      </w:r>
      <w:r w:rsidR="00EC1777">
        <w:rPr>
          <w:rFonts w:ascii="Georgia" w:hAnsi="Georgia" w:cs="Arial"/>
          <w:bCs/>
          <w:color w:val="1F497D" w:themeColor="text2"/>
          <w:spacing w:val="-16"/>
          <w:sz w:val="52"/>
          <w:szCs w:val="52"/>
        </w:rPr>
        <w:t xml:space="preserve"> straniera</w:t>
      </w:r>
    </w:p>
    <w:p w14:paraId="360DB16C" w14:textId="7CECBADD" w:rsidR="00EC1777" w:rsidRDefault="00EC1777" w:rsidP="00012348">
      <w:pPr>
        <w:tabs>
          <w:tab w:val="left" w:pos="851"/>
        </w:tabs>
        <w:autoSpaceDE w:val="0"/>
        <w:autoSpaceDN w:val="0"/>
        <w:adjustRightInd w:val="0"/>
        <w:spacing w:after="120" w:line="360" w:lineRule="exact"/>
        <w:jc w:val="both"/>
        <w:rPr>
          <w:rFonts w:ascii="Georgia" w:hAnsi="Georgia" w:cs="Arial"/>
          <w:bCs/>
          <w:iCs/>
          <w:color w:val="1F497D" w:themeColor="text2"/>
          <w:sz w:val="28"/>
          <w:szCs w:val="28"/>
        </w:rPr>
      </w:pPr>
      <w:r w:rsidRPr="004902BB">
        <w:rPr>
          <w:rFonts w:ascii="Georgia" w:hAnsi="Georgia" w:cs="Arial"/>
          <w:bCs/>
          <w:iCs/>
          <w:color w:val="1F497D" w:themeColor="text2"/>
          <w:sz w:val="28"/>
          <w:szCs w:val="28"/>
        </w:rPr>
        <w:t>Nel</w:t>
      </w:r>
      <w:r>
        <w:rPr>
          <w:rFonts w:ascii="Georgia" w:hAnsi="Georgia" w:cs="Arial"/>
          <w:bCs/>
          <w:iCs/>
          <w:color w:val="1F497D" w:themeColor="text2"/>
          <w:sz w:val="28"/>
          <w:szCs w:val="28"/>
        </w:rPr>
        <w:t xml:space="preserve"> biennio 202</w:t>
      </w:r>
      <w:r w:rsidR="001D5FE8">
        <w:rPr>
          <w:rFonts w:ascii="Georgia" w:hAnsi="Georgia" w:cs="Arial"/>
          <w:bCs/>
          <w:iCs/>
          <w:color w:val="1F497D" w:themeColor="text2"/>
          <w:sz w:val="28"/>
          <w:szCs w:val="28"/>
        </w:rPr>
        <w:t>3</w:t>
      </w:r>
      <w:r>
        <w:rPr>
          <w:rFonts w:ascii="Georgia" w:hAnsi="Georgia" w:cs="Arial"/>
          <w:bCs/>
          <w:iCs/>
          <w:color w:val="1F497D" w:themeColor="text2"/>
          <w:sz w:val="28"/>
          <w:szCs w:val="28"/>
        </w:rPr>
        <w:t>-2</w:t>
      </w:r>
      <w:r w:rsidR="001D5FE8">
        <w:rPr>
          <w:rFonts w:ascii="Georgia" w:hAnsi="Georgia" w:cs="Arial"/>
          <w:bCs/>
          <w:iCs/>
          <w:color w:val="1F497D" w:themeColor="text2"/>
          <w:sz w:val="28"/>
          <w:szCs w:val="28"/>
        </w:rPr>
        <w:t>4</w:t>
      </w:r>
      <w:r>
        <w:rPr>
          <w:rFonts w:ascii="Georgia" w:hAnsi="Georgia" w:cs="Arial"/>
          <w:bCs/>
          <w:iCs/>
          <w:color w:val="1F497D" w:themeColor="text2"/>
          <w:sz w:val="28"/>
          <w:szCs w:val="28"/>
        </w:rPr>
        <w:t xml:space="preserve"> </w:t>
      </w:r>
      <w:r w:rsidR="007173C9">
        <w:rPr>
          <w:rFonts w:ascii="Georgia" w:hAnsi="Georgia" w:cs="Arial"/>
          <w:bCs/>
          <w:iCs/>
          <w:color w:val="1F497D" w:themeColor="text2"/>
          <w:sz w:val="28"/>
          <w:szCs w:val="28"/>
        </w:rPr>
        <w:t xml:space="preserve">gli </w:t>
      </w:r>
      <w:r w:rsidR="007173C9" w:rsidRPr="007173C9">
        <w:rPr>
          <w:rFonts w:ascii="Georgia" w:hAnsi="Georgia" w:cs="Arial"/>
          <w:b/>
          <w:iCs/>
          <w:color w:val="1F497D" w:themeColor="text2"/>
          <w:sz w:val="28"/>
          <w:szCs w:val="28"/>
        </w:rPr>
        <w:t>espatri</w:t>
      </w:r>
      <w:r w:rsidR="007173C9">
        <w:rPr>
          <w:rFonts w:ascii="Georgia" w:hAnsi="Georgia" w:cs="Arial"/>
          <w:bCs/>
          <w:iCs/>
          <w:color w:val="1F497D" w:themeColor="text2"/>
          <w:sz w:val="28"/>
          <w:szCs w:val="28"/>
        </w:rPr>
        <w:t xml:space="preserve"> dei cittadini italiani (complessivamente 270mila, +39,</w:t>
      </w:r>
      <w:r w:rsidR="00C63A4F">
        <w:rPr>
          <w:rFonts w:ascii="Georgia" w:hAnsi="Georgia" w:cs="Arial"/>
          <w:bCs/>
          <w:iCs/>
          <w:color w:val="1F497D" w:themeColor="text2"/>
          <w:sz w:val="28"/>
          <w:szCs w:val="28"/>
        </w:rPr>
        <w:t>3</w:t>
      </w:r>
      <w:r w:rsidR="007173C9">
        <w:rPr>
          <w:rFonts w:ascii="Georgia" w:hAnsi="Georgia" w:cs="Arial"/>
          <w:bCs/>
          <w:iCs/>
          <w:color w:val="1F497D" w:themeColor="text2"/>
          <w:sz w:val="28"/>
          <w:szCs w:val="28"/>
        </w:rPr>
        <w:t xml:space="preserve">% rispetto al biennio precedente) e le </w:t>
      </w:r>
      <w:r w:rsidRPr="00106723">
        <w:rPr>
          <w:rFonts w:ascii="Georgia" w:hAnsi="Georgia" w:cs="Arial"/>
          <w:b/>
          <w:bCs/>
          <w:iCs/>
          <w:color w:val="1F497D" w:themeColor="text2"/>
          <w:sz w:val="28"/>
          <w:szCs w:val="28"/>
        </w:rPr>
        <w:t>immigrazioni</w:t>
      </w:r>
      <w:r>
        <w:rPr>
          <w:rFonts w:ascii="Georgia" w:hAnsi="Georgia" w:cs="Arial"/>
          <w:bCs/>
          <w:iCs/>
          <w:color w:val="1F497D" w:themeColor="text2"/>
          <w:sz w:val="28"/>
          <w:szCs w:val="28"/>
        </w:rPr>
        <w:t xml:space="preserve"> dei cittadini stranieri</w:t>
      </w:r>
      <w:r w:rsidRPr="004902BB">
        <w:rPr>
          <w:rFonts w:ascii="Georgia" w:hAnsi="Georgia" w:cs="Arial"/>
          <w:bCs/>
          <w:iCs/>
          <w:color w:val="1F497D" w:themeColor="text2"/>
          <w:sz w:val="28"/>
          <w:szCs w:val="28"/>
        </w:rPr>
        <w:t xml:space="preserve"> </w:t>
      </w:r>
      <w:r>
        <w:rPr>
          <w:rFonts w:ascii="Georgia" w:hAnsi="Georgia" w:cs="Arial"/>
          <w:bCs/>
          <w:iCs/>
          <w:color w:val="1F497D" w:themeColor="text2"/>
          <w:sz w:val="28"/>
          <w:szCs w:val="28"/>
        </w:rPr>
        <w:t>(</w:t>
      </w:r>
      <w:r w:rsidR="007173C9">
        <w:rPr>
          <w:rFonts w:ascii="Georgia" w:hAnsi="Georgia" w:cs="Arial"/>
          <w:bCs/>
          <w:iCs/>
          <w:color w:val="1F497D" w:themeColor="text2"/>
          <w:sz w:val="28"/>
          <w:szCs w:val="28"/>
        </w:rPr>
        <w:t>760</w:t>
      </w:r>
      <w:r>
        <w:rPr>
          <w:rFonts w:ascii="Georgia" w:hAnsi="Georgia" w:cs="Arial"/>
          <w:bCs/>
          <w:iCs/>
          <w:color w:val="1F497D" w:themeColor="text2"/>
          <w:sz w:val="28"/>
          <w:szCs w:val="28"/>
        </w:rPr>
        <w:t>mila</w:t>
      </w:r>
      <w:r w:rsidR="007173C9">
        <w:rPr>
          <w:rFonts w:ascii="Georgia" w:hAnsi="Georgia" w:cs="Arial"/>
          <w:bCs/>
          <w:iCs/>
          <w:color w:val="1F497D" w:themeColor="text2"/>
          <w:sz w:val="28"/>
          <w:szCs w:val="28"/>
        </w:rPr>
        <w:t>, +31,1%</w:t>
      </w:r>
      <w:r w:rsidRPr="004902BB">
        <w:rPr>
          <w:rFonts w:ascii="Georgia" w:hAnsi="Georgia" w:cs="Arial"/>
          <w:bCs/>
          <w:iCs/>
          <w:color w:val="1F497D" w:themeColor="text2"/>
          <w:sz w:val="28"/>
          <w:szCs w:val="28"/>
        </w:rPr>
        <w:t>)</w:t>
      </w:r>
      <w:r w:rsidR="007173C9">
        <w:rPr>
          <w:rFonts w:ascii="Georgia" w:hAnsi="Georgia" w:cs="Arial"/>
          <w:bCs/>
          <w:iCs/>
          <w:color w:val="1F497D" w:themeColor="text2"/>
          <w:sz w:val="28"/>
          <w:szCs w:val="28"/>
        </w:rPr>
        <w:t xml:space="preserve"> raggiungono valori mai osservati negli ultimi </w:t>
      </w:r>
      <w:r w:rsidR="005D3051">
        <w:rPr>
          <w:rFonts w:ascii="Georgia" w:hAnsi="Georgia" w:cs="Arial"/>
          <w:bCs/>
          <w:iCs/>
          <w:color w:val="1F497D" w:themeColor="text2"/>
          <w:sz w:val="28"/>
          <w:szCs w:val="28"/>
        </w:rPr>
        <w:t xml:space="preserve">10 </w:t>
      </w:r>
      <w:r w:rsidR="007173C9">
        <w:rPr>
          <w:rFonts w:ascii="Georgia" w:hAnsi="Georgia" w:cs="Arial"/>
          <w:bCs/>
          <w:iCs/>
          <w:color w:val="1F497D" w:themeColor="text2"/>
          <w:sz w:val="28"/>
          <w:szCs w:val="28"/>
        </w:rPr>
        <w:t>anni</w:t>
      </w:r>
      <w:r>
        <w:rPr>
          <w:rFonts w:ascii="Georgia" w:hAnsi="Georgia" w:cs="Arial"/>
          <w:bCs/>
          <w:iCs/>
          <w:color w:val="1F497D" w:themeColor="text2"/>
          <w:sz w:val="28"/>
          <w:szCs w:val="28"/>
        </w:rPr>
        <w:t>.</w:t>
      </w:r>
    </w:p>
    <w:p w14:paraId="2A6B09ED" w14:textId="7D159C53" w:rsidR="00967B08" w:rsidRDefault="00DA7F4C" w:rsidP="00012348">
      <w:pPr>
        <w:tabs>
          <w:tab w:val="left" w:pos="851"/>
        </w:tabs>
        <w:autoSpaceDE w:val="0"/>
        <w:autoSpaceDN w:val="0"/>
        <w:adjustRightInd w:val="0"/>
        <w:spacing w:after="120" w:line="360" w:lineRule="exact"/>
        <w:jc w:val="both"/>
        <w:rPr>
          <w:rFonts w:ascii="Georgia" w:hAnsi="Georgia" w:cs="Arial"/>
          <w:bCs/>
          <w:iCs/>
          <w:color w:val="1F497D" w:themeColor="text2"/>
          <w:sz w:val="28"/>
          <w:szCs w:val="28"/>
        </w:rPr>
      </w:pPr>
      <w:r>
        <w:rPr>
          <w:rFonts w:ascii="Georgia" w:hAnsi="Georgia" w:cs="Arial"/>
          <w:bCs/>
          <w:iCs/>
          <w:color w:val="1F497D" w:themeColor="text2"/>
          <w:sz w:val="28"/>
          <w:szCs w:val="28"/>
        </w:rPr>
        <w:t xml:space="preserve">I </w:t>
      </w:r>
      <w:r w:rsidR="0009512D" w:rsidRPr="00FF12FE">
        <w:rPr>
          <w:rFonts w:ascii="Georgia" w:hAnsi="Georgia" w:cs="Arial"/>
          <w:b/>
          <w:bCs/>
          <w:iCs/>
          <w:color w:val="1F497D" w:themeColor="text2"/>
          <w:sz w:val="28"/>
          <w:szCs w:val="28"/>
        </w:rPr>
        <w:t>trasferimenti</w:t>
      </w:r>
      <w:r w:rsidR="00106723" w:rsidRPr="00FF12FE">
        <w:rPr>
          <w:rFonts w:ascii="Georgia" w:hAnsi="Georgia" w:cs="Arial"/>
          <w:b/>
          <w:bCs/>
          <w:iCs/>
          <w:color w:val="1F497D" w:themeColor="text2"/>
          <w:sz w:val="28"/>
          <w:szCs w:val="28"/>
        </w:rPr>
        <w:t xml:space="preserve"> </w:t>
      </w:r>
      <w:r w:rsidRPr="00FF12FE">
        <w:rPr>
          <w:rFonts w:ascii="Georgia" w:hAnsi="Georgia" w:cs="Arial"/>
          <w:b/>
          <w:bCs/>
          <w:iCs/>
          <w:color w:val="1F497D" w:themeColor="text2"/>
          <w:sz w:val="28"/>
          <w:szCs w:val="28"/>
        </w:rPr>
        <w:t>di residenza</w:t>
      </w:r>
      <w:r>
        <w:rPr>
          <w:rFonts w:ascii="Georgia" w:hAnsi="Georgia" w:cs="Arial"/>
          <w:bCs/>
          <w:iCs/>
          <w:color w:val="1F497D" w:themeColor="text2"/>
          <w:sz w:val="28"/>
          <w:szCs w:val="28"/>
        </w:rPr>
        <w:t xml:space="preserve"> tra Comuni italiani hanno interessato un</w:t>
      </w:r>
      <w:r w:rsidRPr="004902BB">
        <w:rPr>
          <w:rFonts w:ascii="Georgia" w:hAnsi="Georgia" w:cs="Arial"/>
          <w:bCs/>
          <w:iCs/>
          <w:color w:val="1F497D" w:themeColor="text2"/>
          <w:sz w:val="28"/>
          <w:szCs w:val="28"/>
        </w:rPr>
        <w:t xml:space="preserve"> milione </w:t>
      </w:r>
      <w:r>
        <w:rPr>
          <w:rFonts w:ascii="Georgia" w:hAnsi="Georgia" w:cs="Arial"/>
          <w:bCs/>
          <w:iCs/>
          <w:color w:val="1F497D" w:themeColor="text2"/>
          <w:sz w:val="28"/>
          <w:szCs w:val="28"/>
        </w:rPr>
        <w:t xml:space="preserve">424mila individui </w:t>
      </w:r>
      <w:r w:rsidR="007173C9">
        <w:rPr>
          <w:rFonts w:ascii="Georgia" w:hAnsi="Georgia" w:cs="Arial"/>
          <w:bCs/>
          <w:iCs/>
          <w:color w:val="1F497D" w:themeColor="text2"/>
          <w:sz w:val="28"/>
          <w:szCs w:val="28"/>
        </w:rPr>
        <w:t>in media annua</w:t>
      </w:r>
      <w:r w:rsidR="00106723">
        <w:rPr>
          <w:rFonts w:ascii="Georgia" w:hAnsi="Georgia" w:cs="Arial"/>
          <w:bCs/>
          <w:iCs/>
          <w:color w:val="1F497D" w:themeColor="text2"/>
          <w:sz w:val="28"/>
          <w:szCs w:val="28"/>
        </w:rPr>
        <w:t xml:space="preserve">, </w:t>
      </w:r>
      <w:r w:rsidR="007173C9">
        <w:rPr>
          <w:rFonts w:ascii="Georgia" w:hAnsi="Georgia" w:cs="Arial"/>
          <w:bCs/>
          <w:iCs/>
          <w:color w:val="1F497D" w:themeColor="text2"/>
          <w:sz w:val="28"/>
          <w:szCs w:val="28"/>
        </w:rPr>
        <w:t xml:space="preserve">in calo </w:t>
      </w:r>
      <w:r>
        <w:rPr>
          <w:rFonts w:ascii="Georgia" w:hAnsi="Georgia" w:cs="Arial"/>
          <w:bCs/>
          <w:iCs/>
          <w:color w:val="1F497D" w:themeColor="text2"/>
          <w:sz w:val="28"/>
          <w:szCs w:val="28"/>
        </w:rPr>
        <w:t xml:space="preserve">dell’1,6% </w:t>
      </w:r>
      <w:r w:rsidR="00106723">
        <w:rPr>
          <w:rFonts w:ascii="Georgia" w:hAnsi="Georgia" w:cs="Arial"/>
          <w:bCs/>
          <w:iCs/>
          <w:color w:val="1F497D" w:themeColor="text2"/>
          <w:sz w:val="28"/>
          <w:szCs w:val="28"/>
        </w:rPr>
        <w:t>rispetto al 2021</w:t>
      </w:r>
      <w:r w:rsidR="007173C9">
        <w:rPr>
          <w:rFonts w:ascii="Georgia" w:hAnsi="Georgia" w:cs="Arial"/>
          <w:bCs/>
          <w:iCs/>
          <w:color w:val="1F497D" w:themeColor="text2"/>
          <w:sz w:val="28"/>
          <w:szCs w:val="28"/>
        </w:rPr>
        <w:t>-22</w:t>
      </w:r>
      <w:r w:rsidR="00BC1A2F">
        <w:rPr>
          <w:rFonts w:ascii="Georgia" w:hAnsi="Georgia" w:cs="Arial"/>
          <w:bCs/>
          <w:iCs/>
          <w:color w:val="1F497D" w:themeColor="text2"/>
          <w:sz w:val="28"/>
          <w:szCs w:val="28"/>
        </w:rPr>
        <w:t>.</w:t>
      </w:r>
    </w:p>
    <w:p w14:paraId="0E2DC531" w14:textId="0C115A14" w:rsidR="00967B08" w:rsidRDefault="00967B08" w:rsidP="00012348">
      <w:pPr>
        <w:tabs>
          <w:tab w:val="left" w:pos="851"/>
        </w:tabs>
        <w:autoSpaceDE w:val="0"/>
        <w:autoSpaceDN w:val="0"/>
        <w:adjustRightInd w:val="0"/>
        <w:spacing w:after="120" w:line="360" w:lineRule="exact"/>
        <w:jc w:val="both"/>
        <w:rPr>
          <w:rFonts w:ascii="Georgia" w:hAnsi="Georgia" w:cs="Arial"/>
          <w:bCs/>
          <w:iCs/>
          <w:color w:val="1F497D" w:themeColor="text2"/>
          <w:sz w:val="28"/>
          <w:szCs w:val="28"/>
        </w:rPr>
      </w:pPr>
      <w:r>
        <w:rPr>
          <w:rFonts w:ascii="Georgia" w:hAnsi="Georgia" w:cs="Arial"/>
          <w:bCs/>
          <w:iCs/>
          <w:color w:val="1F497D" w:themeColor="text2"/>
          <w:sz w:val="28"/>
          <w:szCs w:val="28"/>
        </w:rPr>
        <w:t xml:space="preserve">I trasferimenti </w:t>
      </w:r>
      <w:r w:rsidRPr="00FF12FE">
        <w:rPr>
          <w:rFonts w:ascii="Georgia" w:hAnsi="Georgia" w:cs="Arial"/>
          <w:iCs/>
          <w:color w:val="1F497D" w:themeColor="text2"/>
          <w:sz w:val="28"/>
          <w:szCs w:val="28"/>
        </w:rPr>
        <w:t xml:space="preserve">dal </w:t>
      </w:r>
      <w:r w:rsidRPr="00AF24D1">
        <w:rPr>
          <w:rFonts w:ascii="Georgia" w:hAnsi="Georgia" w:cs="Arial"/>
          <w:b/>
          <w:iCs/>
          <w:color w:val="1F497D" w:themeColor="text2"/>
          <w:sz w:val="28"/>
          <w:szCs w:val="28"/>
        </w:rPr>
        <w:t xml:space="preserve">Mezzogiorno </w:t>
      </w:r>
      <w:r w:rsidRPr="00FF12FE">
        <w:rPr>
          <w:rFonts w:ascii="Georgia" w:hAnsi="Georgia" w:cs="Arial"/>
          <w:iCs/>
          <w:color w:val="1F497D" w:themeColor="text2"/>
          <w:sz w:val="28"/>
          <w:szCs w:val="28"/>
        </w:rPr>
        <w:t>al</w:t>
      </w:r>
      <w:r w:rsidRPr="00AF24D1">
        <w:rPr>
          <w:rFonts w:ascii="Georgia" w:hAnsi="Georgia" w:cs="Arial"/>
          <w:b/>
          <w:iCs/>
          <w:color w:val="1F497D" w:themeColor="text2"/>
          <w:sz w:val="28"/>
          <w:szCs w:val="28"/>
        </w:rPr>
        <w:t xml:space="preserve"> </w:t>
      </w:r>
      <w:r w:rsidR="0023666D">
        <w:rPr>
          <w:rFonts w:ascii="Georgia" w:hAnsi="Georgia" w:cs="Arial"/>
          <w:b/>
          <w:iCs/>
          <w:color w:val="1F497D" w:themeColor="text2"/>
          <w:sz w:val="28"/>
          <w:szCs w:val="28"/>
        </w:rPr>
        <w:t>Centro-Nord</w:t>
      </w:r>
      <w:r>
        <w:rPr>
          <w:rFonts w:ascii="Georgia" w:hAnsi="Georgia" w:cs="Arial"/>
          <w:bCs/>
          <w:iCs/>
          <w:color w:val="1F497D" w:themeColor="text2"/>
          <w:sz w:val="28"/>
          <w:szCs w:val="28"/>
        </w:rPr>
        <w:t xml:space="preserve"> nel biennio</w:t>
      </w:r>
      <w:r w:rsidR="00AF24D1">
        <w:rPr>
          <w:rFonts w:ascii="Georgia" w:hAnsi="Georgia" w:cs="Arial"/>
          <w:bCs/>
          <w:iCs/>
          <w:color w:val="1F497D" w:themeColor="text2"/>
          <w:sz w:val="28"/>
          <w:szCs w:val="28"/>
        </w:rPr>
        <w:t xml:space="preserve"> 2023-24</w:t>
      </w:r>
      <w:r>
        <w:rPr>
          <w:rFonts w:ascii="Georgia" w:hAnsi="Georgia" w:cs="Arial"/>
          <w:bCs/>
          <w:iCs/>
          <w:color w:val="1F497D" w:themeColor="text2"/>
          <w:sz w:val="28"/>
          <w:szCs w:val="28"/>
        </w:rPr>
        <w:t xml:space="preserve"> sono stati 241mila, </w:t>
      </w:r>
      <w:r w:rsidR="00AF24D1">
        <w:rPr>
          <w:rFonts w:ascii="Georgia" w:hAnsi="Georgia" w:cs="Arial"/>
          <w:bCs/>
          <w:iCs/>
          <w:color w:val="1F497D" w:themeColor="text2"/>
          <w:sz w:val="28"/>
          <w:szCs w:val="28"/>
        </w:rPr>
        <w:t xml:space="preserve">quelli sulla rotta inversa 125mila, determinando una perdita di 116mila residenti </w:t>
      </w:r>
      <w:r w:rsidR="00DA7F4C">
        <w:rPr>
          <w:rFonts w:ascii="Georgia" w:hAnsi="Georgia" w:cs="Arial"/>
          <w:bCs/>
          <w:iCs/>
          <w:color w:val="1F497D" w:themeColor="text2"/>
          <w:sz w:val="28"/>
          <w:szCs w:val="28"/>
        </w:rPr>
        <w:t>n</w:t>
      </w:r>
      <w:r w:rsidR="00AF24D1">
        <w:rPr>
          <w:rFonts w:ascii="Georgia" w:hAnsi="Georgia" w:cs="Arial"/>
          <w:bCs/>
          <w:iCs/>
          <w:color w:val="1F497D" w:themeColor="text2"/>
          <w:sz w:val="28"/>
          <w:szCs w:val="28"/>
        </w:rPr>
        <w:t>el Mezzogiorno</w:t>
      </w:r>
      <w:r w:rsidR="00087545">
        <w:rPr>
          <w:rFonts w:ascii="Georgia" w:hAnsi="Georgia" w:cs="Arial"/>
          <w:bCs/>
          <w:iCs/>
          <w:color w:val="1F497D" w:themeColor="text2"/>
          <w:sz w:val="28"/>
          <w:szCs w:val="28"/>
        </w:rPr>
        <w:t>.</w:t>
      </w:r>
    </w:p>
    <w:p w14:paraId="2E88FD74" w14:textId="77777777" w:rsidR="00E50725" w:rsidRDefault="00E50725" w:rsidP="00012348">
      <w:pPr>
        <w:tabs>
          <w:tab w:val="left" w:pos="851"/>
        </w:tabs>
        <w:autoSpaceDE w:val="0"/>
        <w:autoSpaceDN w:val="0"/>
        <w:adjustRightInd w:val="0"/>
        <w:spacing w:after="120" w:line="360" w:lineRule="exact"/>
        <w:jc w:val="both"/>
        <w:rPr>
          <w:rFonts w:ascii="Georgia" w:hAnsi="Georgia" w:cs="Arial"/>
          <w:bCs/>
          <w:iCs/>
          <w:color w:val="1F497D" w:themeColor="text2"/>
          <w:sz w:val="28"/>
          <w:szCs w:val="28"/>
        </w:rPr>
      </w:pPr>
    </w:p>
    <w:tbl>
      <w:tblPr>
        <w:tblStyle w:val="Grigliatabella"/>
        <w:tblW w:w="11908"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70"/>
        <w:gridCol w:w="3685"/>
        <w:gridCol w:w="4253"/>
      </w:tblGrid>
      <w:tr w:rsidR="001A62B5" w:rsidRPr="001A62B5" w14:paraId="41E5A27E" w14:textId="77777777" w:rsidTr="00967B08">
        <w:trPr>
          <w:trHeight w:val="3834"/>
        </w:trPr>
        <w:tc>
          <w:tcPr>
            <w:tcW w:w="3970" w:type="dxa"/>
            <w:shd w:val="clear" w:color="auto" w:fill="D9D9D9" w:themeFill="background1" w:themeFillShade="D9"/>
          </w:tcPr>
          <w:p w14:paraId="1F9EB97C" w14:textId="7F6D09DD" w:rsidR="004E69C7" w:rsidRDefault="00B33A3F" w:rsidP="005D3051">
            <w:pPr>
              <w:tabs>
                <w:tab w:val="left" w:pos="851"/>
                <w:tab w:val="left" w:pos="2831"/>
                <w:tab w:val="left" w:pos="3540"/>
              </w:tabs>
              <w:autoSpaceDE w:val="0"/>
              <w:autoSpaceDN w:val="0"/>
              <w:adjustRightInd w:val="0"/>
              <w:ind w:left="170" w:right="395"/>
              <w:rPr>
                <w:rFonts w:ascii="Georgia" w:hAnsi="Georgia" w:cs="Arial"/>
                <w:bCs/>
                <w:color w:val="1F497D"/>
                <w:sz w:val="56"/>
                <w:szCs w:val="72"/>
              </w:rPr>
            </w:pPr>
            <w:r>
              <w:rPr>
                <w:rFonts w:ascii="Georgia" w:hAnsi="Georgia" w:cs="Arial"/>
                <w:bCs/>
                <w:color w:val="1F497D"/>
                <w:sz w:val="72"/>
                <w:szCs w:val="72"/>
              </w:rPr>
              <w:t>+10</w:t>
            </w:r>
            <w:r w:rsidRPr="00B33A3F">
              <w:rPr>
                <w:rFonts w:ascii="Georgia" w:hAnsi="Georgia" w:cs="Arial"/>
                <w:bCs/>
                <w:color w:val="1F497D"/>
                <w:sz w:val="52"/>
                <w:szCs w:val="52"/>
              </w:rPr>
              <w:t>mila</w:t>
            </w:r>
          </w:p>
          <w:p w14:paraId="273E8385" w14:textId="77777777" w:rsidR="004E69C7" w:rsidRDefault="004E69C7" w:rsidP="005D3051">
            <w:pPr>
              <w:tabs>
                <w:tab w:val="left" w:pos="851"/>
                <w:tab w:val="left" w:pos="2575"/>
                <w:tab w:val="left" w:pos="3540"/>
              </w:tabs>
              <w:autoSpaceDE w:val="0"/>
              <w:autoSpaceDN w:val="0"/>
              <w:adjustRightInd w:val="0"/>
              <w:ind w:left="170" w:right="573"/>
              <w:rPr>
                <w:rFonts w:ascii="Georgia" w:hAnsi="Georgia" w:cs="Arial"/>
                <w:b/>
                <w:bCs/>
                <w:color w:val="1F497D"/>
                <w:sz w:val="26"/>
                <w:szCs w:val="26"/>
              </w:rPr>
            </w:pPr>
          </w:p>
          <w:p w14:paraId="48B28199" w14:textId="2B82571A" w:rsidR="00B33A3F" w:rsidRPr="00B33A3F" w:rsidRDefault="00B33A3F" w:rsidP="005D3051">
            <w:pPr>
              <w:tabs>
                <w:tab w:val="left" w:pos="3540"/>
              </w:tabs>
              <w:autoSpaceDE w:val="0"/>
              <w:autoSpaceDN w:val="0"/>
              <w:adjustRightInd w:val="0"/>
              <w:ind w:left="170" w:right="282"/>
              <w:rPr>
                <w:rFonts w:ascii="Georgia" w:hAnsi="Georgia" w:cs="Arial"/>
                <w:b/>
                <w:bCs/>
                <w:iCs/>
                <w:color w:val="1F497D"/>
                <w:sz w:val="26"/>
                <w:szCs w:val="26"/>
              </w:rPr>
            </w:pPr>
            <w:r>
              <w:rPr>
                <w:rFonts w:ascii="Georgia" w:hAnsi="Georgia" w:cs="Arial"/>
                <w:b/>
                <w:bCs/>
                <w:iCs/>
                <w:color w:val="1F497D"/>
                <w:sz w:val="26"/>
                <w:szCs w:val="26"/>
              </w:rPr>
              <w:t>I</w:t>
            </w:r>
            <w:r w:rsidRPr="00B33A3F">
              <w:rPr>
                <w:rFonts w:ascii="Georgia" w:hAnsi="Georgia" w:cs="Arial"/>
                <w:b/>
                <w:bCs/>
                <w:iCs/>
                <w:color w:val="1F497D"/>
                <w:sz w:val="26"/>
                <w:szCs w:val="26"/>
              </w:rPr>
              <w:t xml:space="preserve">l saldo migratorio </w:t>
            </w:r>
            <w:r>
              <w:rPr>
                <w:rFonts w:ascii="Georgia" w:hAnsi="Georgia" w:cs="Arial"/>
                <w:b/>
                <w:bCs/>
                <w:iCs/>
                <w:color w:val="1F497D"/>
                <w:sz w:val="26"/>
                <w:szCs w:val="26"/>
              </w:rPr>
              <w:t xml:space="preserve">totale </w:t>
            </w:r>
            <w:r w:rsidR="005D3051">
              <w:rPr>
                <w:rFonts w:ascii="Georgia" w:hAnsi="Georgia" w:cs="Arial"/>
                <w:b/>
                <w:bCs/>
                <w:iCs/>
                <w:color w:val="1F497D"/>
                <w:sz w:val="26"/>
                <w:szCs w:val="26"/>
              </w:rPr>
              <w:t xml:space="preserve">2019-2023 </w:t>
            </w:r>
            <w:r w:rsidRPr="00B33A3F">
              <w:rPr>
                <w:rFonts w:ascii="Georgia" w:hAnsi="Georgia" w:cs="Arial"/>
                <w:b/>
                <w:bCs/>
                <w:iCs/>
                <w:color w:val="1F497D"/>
                <w:sz w:val="26"/>
                <w:szCs w:val="26"/>
              </w:rPr>
              <w:t>dei giovani laureati</w:t>
            </w:r>
            <w:r>
              <w:rPr>
                <w:rFonts w:ascii="Georgia" w:hAnsi="Georgia" w:cs="Arial"/>
                <w:b/>
                <w:bCs/>
                <w:iCs/>
                <w:color w:val="1F497D"/>
                <w:sz w:val="26"/>
                <w:szCs w:val="26"/>
              </w:rPr>
              <w:t xml:space="preserve"> </w:t>
            </w:r>
            <w:r w:rsidR="005D3051">
              <w:rPr>
                <w:rFonts w:ascii="Georgia" w:hAnsi="Georgia" w:cs="Arial"/>
                <w:b/>
                <w:bCs/>
                <w:iCs/>
                <w:color w:val="1F497D"/>
                <w:sz w:val="26"/>
                <w:szCs w:val="26"/>
              </w:rPr>
              <w:br/>
            </w:r>
            <w:r>
              <w:rPr>
                <w:rFonts w:ascii="Georgia" w:hAnsi="Georgia" w:cs="Arial"/>
                <w:b/>
                <w:bCs/>
                <w:iCs/>
                <w:color w:val="1F497D"/>
                <w:sz w:val="26"/>
                <w:szCs w:val="26"/>
              </w:rPr>
              <w:t xml:space="preserve">di </w:t>
            </w:r>
            <w:r w:rsidRPr="00B33A3F">
              <w:rPr>
                <w:rFonts w:ascii="Georgia" w:hAnsi="Georgia" w:cs="Arial"/>
                <w:b/>
                <w:bCs/>
                <w:iCs/>
                <w:color w:val="1F497D"/>
                <w:sz w:val="26"/>
                <w:szCs w:val="26"/>
              </w:rPr>
              <w:t>25-34 anni grazie all</w:t>
            </w:r>
            <w:r w:rsidR="005D3051">
              <w:rPr>
                <w:rFonts w:ascii="Georgia" w:hAnsi="Georgia" w:cs="Arial"/>
                <w:b/>
                <w:bCs/>
                <w:iCs/>
                <w:color w:val="1F497D"/>
                <w:sz w:val="26"/>
                <w:szCs w:val="26"/>
              </w:rPr>
              <w:t>’</w:t>
            </w:r>
            <w:r w:rsidRPr="00B33A3F">
              <w:rPr>
                <w:rFonts w:ascii="Georgia" w:hAnsi="Georgia" w:cs="Arial"/>
                <w:b/>
                <w:bCs/>
                <w:iCs/>
                <w:color w:val="1F497D"/>
                <w:sz w:val="26"/>
                <w:szCs w:val="26"/>
              </w:rPr>
              <w:t>ingresso di laureati stranieri dall</w:t>
            </w:r>
            <w:r w:rsidR="005D3051">
              <w:rPr>
                <w:rFonts w:ascii="Georgia" w:hAnsi="Georgia" w:cs="Arial"/>
                <w:b/>
                <w:bCs/>
                <w:iCs/>
                <w:color w:val="1F497D"/>
                <w:sz w:val="26"/>
                <w:szCs w:val="26"/>
              </w:rPr>
              <w:t>’</w:t>
            </w:r>
            <w:r w:rsidRPr="00B33A3F">
              <w:rPr>
                <w:rFonts w:ascii="Georgia" w:hAnsi="Georgia" w:cs="Arial"/>
                <w:b/>
                <w:bCs/>
                <w:iCs/>
                <w:color w:val="1F497D"/>
                <w:sz w:val="26"/>
                <w:szCs w:val="26"/>
              </w:rPr>
              <w:t>estero</w:t>
            </w:r>
            <w:r w:rsidR="00967B08">
              <w:rPr>
                <w:rFonts w:ascii="Georgia" w:hAnsi="Georgia" w:cs="Arial"/>
                <w:b/>
                <w:bCs/>
                <w:iCs/>
                <w:color w:val="1F497D"/>
                <w:sz w:val="26"/>
                <w:szCs w:val="26"/>
              </w:rPr>
              <w:t xml:space="preserve"> </w:t>
            </w:r>
          </w:p>
          <w:p w14:paraId="24484502" w14:textId="5205AB55" w:rsidR="004E69C7" w:rsidRDefault="004E69C7" w:rsidP="005D3051">
            <w:pPr>
              <w:tabs>
                <w:tab w:val="left" w:pos="3540"/>
              </w:tabs>
              <w:autoSpaceDE w:val="0"/>
              <w:autoSpaceDN w:val="0"/>
              <w:adjustRightInd w:val="0"/>
              <w:ind w:left="170" w:right="282"/>
              <w:rPr>
                <w:rFonts w:ascii="Georgia" w:hAnsi="Georgia" w:cs="Arial"/>
                <w:b/>
                <w:bCs/>
                <w:iCs/>
                <w:color w:val="1F497D"/>
                <w:sz w:val="26"/>
                <w:szCs w:val="26"/>
              </w:rPr>
            </w:pPr>
          </w:p>
          <w:p w14:paraId="0DA97ACC" w14:textId="54A61FDD" w:rsidR="007E6EAA" w:rsidRDefault="00967B08" w:rsidP="005D3051">
            <w:pPr>
              <w:tabs>
                <w:tab w:val="left" w:pos="851"/>
              </w:tabs>
              <w:autoSpaceDE w:val="0"/>
              <w:autoSpaceDN w:val="0"/>
              <w:adjustRightInd w:val="0"/>
              <w:ind w:left="170" w:right="-119"/>
              <w:rPr>
                <w:rFonts w:ascii="Arial Narrow" w:hAnsi="Arial Narrow" w:cs="Arial"/>
                <w:bCs/>
                <w:color w:val="1F497D" w:themeColor="text2"/>
              </w:rPr>
            </w:pPr>
            <w:r>
              <w:rPr>
                <w:rFonts w:ascii="Arial Narrow" w:hAnsi="Arial Narrow" w:cs="Arial"/>
                <w:bCs/>
                <w:color w:val="1F497D" w:themeColor="text2"/>
              </w:rPr>
              <w:t>Il saldo migratorio dei giovani laureati italiani è -58mila, quello degli stranieri +68mila</w:t>
            </w:r>
            <w:r w:rsidRPr="00A50A4E">
              <w:rPr>
                <w:rFonts w:ascii="Arial Narrow" w:hAnsi="Arial Narrow" w:cs="Arial"/>
                <w:bCs/>
                <w:color w:val="1F497D" w:themeColor="text2"/>
              </w:rPr>
              <w:t xml:space="preserve"> </w:t>
            </w:r>
          </w:p>
          <w:p w14:paraId="14DE44ED" w14:textId="7BD3F6A1" w:rsidR="005D3051" w:rsidRPr="0060175D" w:rsidRDefault="005D3051" w:rsidP="005D3051">
            <w:pPr>
              <w:tabs>
                <w:tab w:val="left" w:pos="851"/>
              </w:tabs>
              <w:autoSpaceDE w:val="0"/>
              <w:autoSpaceDN w:val="0"/>
              <w:adjustRightInd w:val="0"/>
              <w:ind w:left="170" w:right="-119"/>
              <w:rPr>
                <w:rFonts w:ascii="Arial Narrow" w:hAnsi="Arial Narrow" w:cs="Arial"/>
                <w:bCs/>
                <w:color w:val="1F497D" w:themeColor="text2"/>
              </w:rPr>
            </w:pPr>
          </w:p>
        </w:tc>
        <w:tc>
          <w:tcPr>
            <w:tcW w:w="3685" w:type="dxa"/>
            <w:shd w:val="clear" w:color="auto" w:fill="D9D9D9" w:themeFill="background1" w:themeFillShade="D9"/>
          </w:tcPr>
          <w:p w14:paraId="17222D8E" w14:textId="256C297E" w:rsidR="00397AE3" w:rsidRPr="00A50A4E" w:rsidRDefault="004E69C7" w:rsidP="00A50A4E">
            <w:pPr>
              <w:tabs>
                <w:tab w:val="left" w:pos="1204"/>
              </w:tabs>
              <w:autoSpaceDE w:val="0"/>
              <w:autoSpaceDN w:val="0"/>
              <w:adjustRightInd w:val="0"/>
              <w:ind w:left="168"/>
              <w:rPr>
                <w:rFonts w:ascii="Georgia" w:hAnsi="Georgia" w:cs="Arial"/>
                <w:bCs/>
                <w:color w:val="E42618"/>
                <w:sz w:val="72"/>
                <w:szCs w:val="72"/>
              </w:rPr>
            </w:pPr>
            <w:r>
              <w:rPr>
                <w:rFonts w:ascii="Georgia" w:hAnsi="Georgia" w:cs="Arial"/>
                <w:bCs/>
                <w:color w:val="E42618"/>
                <w:sz w:val="72"/>
                <w:szCs w:val="72"/>
              </w:rPr>
              <w:t>59</w:t>
            </w:r>
            <w:r w:rsidR="005B3D12" w:rsidRPr="00910DB9">
              <w:rPr>
                <w:rFonts w:ascii="Georgia" w:hAnsi="Georgia" w:cs="Arial"/>
                <w:bCs/>
                <w:color w:val="E42618"/>
                <w:sz w:val="52"/>
                <w:szCs w:val="52"/>
              </w:rPr>
              <w:t>mila</w:t>
            </w:r>
          </w:p>
          <w:p w14:paraId="0EB13A7D" w14:textId="58F3F4B9" w:rsidR="00264F5E" w:rsidRPr="00A50A4E" w:rsidRDefault="00264F5E" w:rsidP="00AD4395">
            <w:pPr>
              <w:tabs>
                <w:tab w:val="left" w:pos="0"/>
              </w:tabs>
              <w:autoSpaceDE w:val="0"/>
              <w:autoSpaceDN w:val="0"/>
              <w:adjustRightInd w:val="0"/>
              <w:rPr>
                <w:rFonts w:ascii="Georgia" w:hAnsi="Georgia" w:cs="Arial"/>
                <w:b/>
                <w:bCs/>
                <w:color w:val="E42618"/>
                <w:sz w:val="26"/>
                <w:szCs w:val="26"/>
              </w:rPr>
            </w:pPr>
          </w:p>
          <w:p w14:paraId="401D8AA0" w14:textId="6B70FB81" w:rsidR="007E6EAA" w:rsidRPr="001A62B5" w:rsidRDefault="00967B08" w:rsidP="00DA7F4C">
            <w:pPr>
              <w:tabs>
                <w:tab w:val="left" w:pos="0"/>
              </w:tabs>
              <w:autoSpaceDE w:val="0"/>
              <w:autoSpaceDN w:val="0"/>
              <w:adjustRightInd w:val="0"/>
              <w:ind w:left="143"/>
              <w:rPr>
                <w:rFonts w:ascii="Georgia" w:hAnsi="Georgia" w:cs="Arial"/>
                <w:b/>
                <w:bCs/>
                <w:color w:val="244061" w:themeColor="accent1" w:themeShade="80"/>
                <w:sz w:val="28"/>
                <w:szCs w:val="28"/>
              </w:rPr>
            </w:pPr>
            <w:r w:rsidRPr="00967B08">
              <w:rPr>
                <w:rFonts w:ascii="Georgia" w:hAnsi="Georgia" w:cs="Arial"/>
                <w:b/>
                <w:bCs/>
                <w:color w:val="E42618"/>
                <w:sz w:val="26"/>
                <w:szCs w:val="26"/>
              </w:rPr>
              <w:t xml:space="preserve">Il numero di immigrati stranieri </w:t>
            </w:r>
            <w:r w:rsidR="00325D7A" w:rsidRPr="00967B08">
              <w:rPr>
                <w:rFonts w:ascii="Georgia" w:hAnsi="Georgia" w:cs="Arial"/>
                <w:b/>
                <w:bCs/>
                <w:color w:val="E42618"/>
                <w:sz w:val="26"/>
                <w:szCs w:val="26"/>
              </w:rPr>
              <w:t>nel biennio 2023-24</w:t>
            </w:r>
            <w:r w:rsidR="00325D7A">
              <w:rPr>
                <w:rFonts w:ascii="Georgia" w:hAnsi="Georgia" w:cs="Arial"/>
                <w:b/>
                <w:bCs/>
                <w:color w:val="E42618"/>
                <w:sz w:val="26"/>
                <w:szCs w:val="26"/>
              </w:rPr>
              <w:t xml:space="preserve"> </w:t>
            </w:r>
            <w:r w:rsidRPr="00967B08">
              <w:rPr>
                <w:rFonts w:ascii="Georgia" w:hAnsi="Georgia" w:cs="Arial"/>
                <w:b/>
                <w:bCs/>
                <w:color w:val="E42618"/>
                <w:sz w:val="26"/>
                <w:szCs w:val="26"/>
              </w:rPr>
              <w:t>provenienti dall</w:t>
            </w:r>
            <w:r w:rsidR="005D3051">
              <w:rPr>
                <w:rFonts w:ascii="Georgia" w:hAnsi="Georgia" w:cs="Arial"/>
                <w:b/>
                <w:bCs/>
                <w:color w:val="E42618"/>
                <w:sz w:val="26"/>
                <w:szCs w:val="26"/>
              </w:rPr>
              <w:t>’</w:t>
            </w:r>
            <w:r w:rsidRPr="00967B08">
              <w:rPr>
                <w:rFonts w:ascii="Georgia" w:hAnsi="Georgia" w:cs="Arial"/>
                <w:b/>
                <w:bCs/>
                <w:color w:val="E42618"/>
                <w:sz w:val="26"/>
                <w:szCs w:val="26"/>
              </w:rPr>
              <w:t>Ucraina</w:t>
            </w:r>
            <w:r w:rsidR="00325D7A">
              <w:rPr>
                <w:rFonts w:ascii="Georgia" w:hAnsi="Georgia" w:cs="Arial"/>
                <w:b/>
                <w:bCs/>
                <w:color w:val="E42618"/>
                <w:sz w:val="26"/>
                <w:szCs w:val="26"/>
              </w:rPr>
              <w:t xml:space="preserve"> </w:t>
            </w:r>
            <w:r w:rsidRPr="00967B08">
              <w:rPr>
                <w:rFonts w:ascii="Georgia" w:hAnsi="Georgia" w:cs="Arial"/>
                <w:b/>
                <w:bCs/>
                <w:color w:val="E42618"/>
                <w:sz w:val="26"/>
                <w:szCs w:val="26"/>
              </w:rPr>
              <w:t>c</w:t>
            </w:r>
            <w:r>
              <w:rPr>
                <w:rFonts w:ascii="Georgia" w:hAnsi="Georgia" w:cs="Arial"/>
                <w:b/>
                <w:bCs/>
                <w:color w:val="E42618"/>
                <w:sz w:val="26"/>
                <w:szCs w:val="26"/>
              </w:rPr>
              <w:t xml:space="preserve">he </w:t>
            </w:r>
            <w:r w:rsidR="00DA7F4C">
              <w:rPr>
                <w:rFonts w:ascii="Georgia" w:hAnsi="Georgia" w:cs="Arial"/>
                <w:b/>
                <w:bCs/>
                <w:color w:val="E42618"/>
                <w:sz w:val="26"/>
                <w:szCs w:val="26"/>
              </w:rPr>
              <w:t xml:space="preserve">si </w:t>
            </w:r>
            <w:r>
              <w:rPr>
                <w:rFonts w:ascii="Georgia" w:hAnsi="Georgia" w:cs="Arial"/>
                <w:b/>
                <w:bCs/>
                <w:color w:val="E42618"/>
                <w:sz w:val="26"/>
                <w:szCs w:val="26"/>
              </w:rPr>
              <w:t>c</w:t>
            </w:r>
            <w:r w:rsidRPr="00967B08">
              <w:rPr>
                <w:rFonts w:ascii="Georgia" w:hAnsi="Georgia" w:cs="Arial"/>
                <w:b/>
                <w:bCs/>
                <w:color w:val="E42618"/>
                <w:sz w:val="26"/>
                <w:szCs w:val="26"/>
              </w:rPr>
              <w:t xml:space="preserve">onferma il principale </w:t>
            </w:r>
            <w:r w:rsidR="00DA7F4C">
              <w:rPr>
                <w:rFonts w:ascii="Georgia" w:hAnsi="Georgia" w:cs="Arial"/>
                <w:b/>
                <w:bCs/>
                <w:color w:val="E42618"/>
                <w:sz w:val="26"/>
                <w:szCs w:val="26"/>
              </w:rPr>
              <w:t xml:space="preserve">Paese di </w:t>
            </w:r>
            <w:r>
              <w:rPr>
                <w:rFonts w:ascii="Georgia" w:hAnsi="Georgia" w:cs="Arial"/>
                <w:b/>
                <w:bCs/>
                <w:color w:val="E42618"/>
                <w:sz w:val="26"/>
                <w:szCs w:val="26"/>
              </w:rPr>
              <w:t>origine</w:t>
            </w:r>
            <w:r w:rsidR="00DA7F4C">
              <w:rPr>
                <w:rFonts w:ascii="Georgia" w:hAnsi="Georgia" w:cs="Arial"/>
                <w:b/>
                <w:bCs/>
                <w:color w:val="E42618"/>
                <w:sz w:val="26"/>
                <w:szCs w:val="26"/>
              </w:rPr>
              <w:t xml:space="preserve"> dei flussi</w:t>
            </w:r>
          </w:p>
        </w:tc>
        <w:tc>
          <w:tcPr>
            <w:tcW w:w="4253" w:type="dxa"/>
            <w:shd w:val="clear" w:color="auto" w:fill="D9D9D9" w:themeFill="background1" w:themeFillShade="D9"/>
            <w:tcMar>
              <w:left w:w="284" w:type="dxa"/>
              <w:right w:w="284" w:type="dxa"/>
            </w:tcMar>
          </w:tcPr>
          <w:p w14:paraId="3B66E1F3" w14:textId="648E0957" w:rsidR="004E69C7" w:rsidRPr="00EF5144" w:rsidRDefault="009C31FF" w:rsidP="00F25358">
            <w:pPr>
              <w:tabs>
                <w:tab w:val="left" w:pos="851"/>
              </w:tabs>
              <w:autoSpaceDE w:val="0"/>
              <w:autoSpaceDN w:val="0"/>
              <w:adjustRightInd w:val="0"/>
              <w:ind w:right="-119"/>
              <w:rPr>
                <w:rFonts w:ascii="Georgia" w:hAnsi="Georgia" w:cs="Arial"/>
                <w:bCs/>
                <w:color w:val="1F497D" w:themeColor="text2"/>
                <w:sz w:val="56"/>
                <w:szCs w:val="72"/>
              </w:rPr>
            </w:pPr>
            <w:r>
              <w:rPr>
                <w:rFonts w:ascii="Georgia" w:hAnsi="Georgia" w:cs="Arial"/>
                <w:bCs/>
                <w:color w:val="1F497D" w:themeColor="text2"/>
                <w:sz w:val="72"/>
                <w:szCs w:val="72"/>
              </w:rPr>
              <w:t xml:space="preserve">29 </w:t>
            </w:r>
            <w:r w:rsidRPr="0052228F">
              <w:rPr>
                <w:rFonts w:ascii="Georgia" w:hAnsi="Georgia" w:cs="Arial"/>
                <w:bCs/>
                <w:color w:val="1F497D" w:themeColor="text2"/>
                <w:sz w:val="52"/>
                <w:szCs w:val="52"/>
              </w:rPr>
              <w:t>anni</w:t>
            </w:r>
            <w:r w:rsidR="00C570FC" w:rsidRPr="00EF5144">
              <w:rPr>
                <w:rFonts w:ascii="Georgia" w:hAnsi="Georgia" w:cs="Arial"/>
                <w:bCs/>
                <w:color w:val="1F497D" w:themeColor="text2"/>
                <w:sz w:val="72"/>
                <w:szCs w:val="72"/>
              </w:rPr>
              <w:t xml:space="preserve"> </w:t>
            </w:r>
          </w:p>
          <w:p w14:paraId="74F6F5F3" w14:textId="77777777" w:rsidR="004E69C7" w:rsidRPr="00EF5144" w:rsidRDefault="004E69C7" w:rsidP="00F25358">
            <w:pPr>
              <w:tabs>
                <w:tab w:val="left" w:pos="851"/>
              </w:tabs>
              <w:autoSpaceDE w:val="0"/>
              <w:autoSpaceDN w:val="0"/>
              <w:adjustRightInd w:val="0"/>
              <w:ind w:left="142" w:right="-119" w:hanging="142"/>
              <w:rPr>
                <w:rFonts w:ascii="Georgia" w:hAnsi="Georgia" w:cs="Arial"/>
                <w:b/>
                <w:bCs/>
                <w:color w:val="1F497D" w:themeColor="text2"/>
                <w:sz w:val="26"/>
                <w:szCs w:val="26"/>
              </w:rPr>
            </w:pPr>
          </w:p>
          <w:p w14:paraId="0031E2D9" w14:textId="6216641E" w:rsidR="004E69C7" w:rsidRPr="00EF5144" w:rsidRDefault="009C31FF" w:rsidP="00F25358">
            <w:pPr>
              <w:tabs>
                <w:tab w:val="left" w:pos="851"/>
              </w:tabs>
              <w:autoSpaceDE w:val="0"/>
              <w:autoSpaceDN w:val="0"/>
              <w:adjustRightInd w:val="0"/>
              <w:ind w:right="-119"/>
              <w:rPr>
                <w:rFonts w:ascii="Georgia" w:hAnsi="Georgia" w:cs="Arial"/>
                <w:bCs/>
                <w:color w:val="1F497D" w:themeColor="text2"/>
                <w:sz w:val="26"/>
                <w:szCs w:val="26"/>
              </w:rPr>
            </w:pPr>
            <w:r>
              <w:rPr>
                <w:rFonts w:ascii="Georgia" w:hAnsi="Georgia" w:cs="Arial"/>
                <w:b/>
                <w:bCs/>
                <w:color w:val="1F497D" w:themeColor="text2"/>
                <w:sz w:val="26"/>
                <w:szCs w:val="26"/>
              </w:rPr>
              <w:t>L’età mediana degli stranieri immigrati nel biennio 2023-24</w:t>
            </w:r>
          </w:p>
          <w:p w14:paraId="14D85A1A" w14:textId="3349C390" w:rsidR="004E69C7" w:rsidRDefault="004E69C7" w:rsidP="00F25358">
            <w:pPr>
              <w:tabs>
                <w:tab w:val="left" w:pos="851"/>
              </w:tabs>
              <w:autoSpaceDE w:val="0"/>
              <w:autoSpaceDN w:val="0"/>
              <w:adjustRightInd w:val="0"/>
              <w:ind w:right="-119"/>
              <w:rPr>
                <w:rFonts w:ascii="Georgia" w:hAnsi="Georgia" w:cs="Arial"/>
                <w:bCs/>
                <w:color w:val="1F497D" w:themeColor="text2"/>
                <w:sz w:val="26"/>
                <w:szCs w:val="26"/>
              </w:rPr>
            </w:pPr>
          </w:p>
          <w:p w14:paraId="2FE03292" w14:textId="4700DAEA" w:rsidR="00F74CCC" w:rsidRDefault="00F74CCC" w:rsidP="00F25358">
            <w:pPr>
              <w:tabs>
                <w:tab w:val="left" w:pos="851"/>
              </w:tabs>
              <w:autoSpaceDE w:val="0"/>
              <w:autoSpaceDN w:val="0"/>
              <w:adjustRightInd w:val="0"/>
              <w:ind w:right="-119"/>
              <w:rPr>
                <w:rFonts w:ascii="Georgia" w:hAnsi="Georgia" w:cs="Arial"/>
                <w:bCs/>
                <w:color w:val="1F497D" w:themeColor="text2"/>
                <w:sz w:val="26"/>
                <w:szCs w:val="26"/>
              </w:rPr>
            </w:pPr>
          </w:p>
          <w:p w14:paraId="06DB0E9D" w14:textId="1CCC5B14" w:rsidR="00F74CCC" w:rsidRDefault="00F74CCC" w:rsidP="00F25358">
            <w:pPr>
              <w:tabs>
                <w:tab w:val="left" w:pos="851"/>
              </w:tabs>
              <w:autoSpaceDE w:val="0"/>
              <w:autoSpaceDN w:val="0"/>
              <w:adjustRightInd w:val="0"/>
              <w:ind w:right="-119"/>
              <w:rPr>
                <w:rFonts w:ascii="Georgia" w:hAnsi="Georgia" w:cs="Arial"/>
                <w:bCs/>
                <w:color w:val="1F497D" w:themeColor="text2"/>
                <w:sz w:val="26"/>
                <w:szCs w:val="26"/>
              </w:rPr>
            </w:pPr>
          </w:p>
          <w:p w14:paraId="31E585AF" w14:textId="77777777" w:rsidR="009C31FF" w:rsidRDefault="009C31FF" w:rsidP="00F25358">
            <w:pPr>
              <w:tabs>
                <w:tab w:val="left" w:pos="851"/>
              </w:tabs>
              <w:autoSpaceDE w:val="0"/>
              <w:autoSpaceDN w:val="0"/>
              <w:adjustRightInd w:val="0"/>
              <w:ind w:right="-119"/>
              <w:rPr>
                <w:rFonts w:ascii="Georgia" w:hAnsi="Georgia" w:cs="Arial"/>
                <w:bCs/>
                <w:color w:val="1F497D" w:themeColor="text2"/>
                <w:sz w:val="26"/>
                <w:szCs w:val="26"/>
              </w:rPr>
            </w:pPr>
          </w:p>
          <w:p w14:paraId="66CED106" w14:textId="186EF477" w:rsidR="00F74CCC" w:rsidRPr="00EF5144" w:rsidRDefault="009C31FF" w:rsidP="00F74CCC">
            <w:pPr>
              <w:tabs>
                <w:tab w:val="left" w:pos="851"/>
              </w:tabs>
              <w:autoSpaceDE w:val="0"/>
              <w:autoSpaceDN w:val="0"/>
              <w:adjustRightInd w:val="0"/>
              <w:ind w:right="-119"/>
              <w:rPr>
                <w:rFonts w:ascii="Georgia" w:hAnsi="Georgia" w:cs="Arial"/>
                <w:bCs/>
                <w:color w:val="1F497D" w:themeColor="text2"/>
                <w:sz w:val="26"/>
                <w:szCs w:val="26"/>
              </w:rPr>
            </w:pPr>
            <w:r>
              <w:rPr>
                <w:rFonts w:ascii="Arial Narrow" w:hAnsi="Arial Narrow" w:cs="Arial"/>
                <w:bCs/>
                <w:color w:val="1F497D" w:themeColor="text2"/>
              </w:rPr>
              <w:t>5 anni più giovani degli italiani rimpatriati</w:t>
            </w:r>
          </w:p>
          <w:p w14:paraId="648AF4FE" w14:textId="2454444F" w:rsidR="006D2851" w:rsidRPr="00EF5144" w:rsidRDefault="006D2851" w:rsidP="0039131E">
            <w:pPr>
              <w:tabs>
                <w:tab w:val="left" w:pos="851"/>
              </w:tabs>
              <w:autoSpaceDE w:val="0"/>
              <w:autoSpaceDN w:val="0"/>
              <w:adjustRightInd w:val="0"/>
              <w:ind w:left="314" w:right="-119"/>
              <w:rPr>
                <w:rFonts w:ascii="Arial Narrow" w:hAnsi="Arial Narrow" w:cs="Arial"/>
                <w:bCs/>
                <w:color w:val="1F497D" w:themeColor="text2"/>
              </w:rPr>
            </w:pPr>
          </w:p>
        </w:tc>
      </w:tr>
    </w:tbl>
    <w:p w14:paraId="21979D08" w14:textId="75ABF9A1" w:rsidR="00C65721" w:rsidRPr="0058002A" w:rsidRDefault="00C65721" w:rsidP="000467F2">
      <w:pPr>
        <w:rPr>
          <w:rFonts w:ascii="Arial" w:hAnsi="Arial" w:cs="Arial"/>
          <w:iCs/>
          <w:noProof/>
          <w:color w:val="000000"/>
          <w:sz w:val="20"/>
          <w:szCs w:val="20"/>
        </w:rPr>
        <w:sectPr w:rsidR="00C65721" w:rsidRPr="0058002A" w:rsidSect="00123E17">
          <w:footerReference w:type="even" r:id="rId8"/>
          <w:footerReference w:type="default" r:id="rId9"/>
          <w:headerReference w:type="first" r:id="rId10"/>
          <w:footerReference w:type="first" r:id="rId11"/>
          <w:type w:val="continuous"/>
          <w:pgSz w:w="11906" w:h="16838"/>
          <w:pgMar w:top="567" w:right="851" w:bottom="680" w:left="851" w:header="0" w:footer="0" w:gutter="0"/>
          <w:pgNumType w:start="1"/>
          <w:cols w:space="708"/>
          <w:titlePg/>
          <w:docGrid w:linePitch="360"/>
        </w:sectPr>
      </w:pPr>
    </w:p>
    <w:p w14:paraId="7F05A669" w14:textId="77777777" w:rsidR="00701F79" w:rsidRPr="0052228F" w:rsidRDefault="00701F79" w:rsidP="001D6A1B">
      <w:pPr>
        <w:spacing w:after="120"/>
        <w:jc w:val="both"/>
        <w:outlineLvl w:val="0"/>
        <w:rPr>
          <w:rFonts w:ascii="Arial" w:hAnsi="Arial" w:cs="Arial"/>
          <w:iCs/>
          <w:color w:val="1F497D" w:themeColor="text2"/>
          <w:sz w:val="22"/>
          <w:szCs w:val="26"/>
        </w:rPr>
      </w:pPr>
    </w:p>
    <w:p w14:paraId="2FA0675F" w14:textId="48EE74DA" w:rsidR="001D6A1B" w:rsidRPr="00F159F9" w:rsidRDefault="0060731B" w:rsidP="001D6A1B">
      <w:pPr>
        <w:spacing w:after="120"/>
        <w:jc w:val="both"/>
        <w:outlineLvl w:val="0"/>
        <w:rPr>
          <w:rFonts w:ascii="Arial" w:hAnsi="Arial" w:cs="Arial"/>
          <w:b/>
          <w:iCs/>
          <w:color w:val="1F497D" w:themeColor="text2"/>
          <w:sz w:val="26"/>
          <w:szCs w:val="26"/>
        </w:rPr>
      </w:pPr>
      <w:r>
        <w:rPr>
          <w:rFonts w:ascii="Arial" w:hAnsi="Arial" w:cs="Arial"/>
          <w:b/>
          <w:iCs/>
          <w:color w:val="1F497D" w:themeColor="text2"/>
          <w:sz w:val="26"/>
          <w:szCs w:val="26"/>
        </w:rPr>
        <w:t>Un Paese attrattiv</w:t>
      </w:r>
      <w:r w:rsidR="00225B97">
        <w:rPr>
          <w:rFonts w:ascii="Arial" w:hAnsi="Arial" w:cs="Arial"/>
          <w:b/>
          <w:iCs/>
          <w:color w:val="1F497D" w:themeColor="text2"/>
          <w:sz w:val="26"/>
          <w:szCs w:val="26"/>
        </w:rPr>
        <w:t>o</w:t>
      </w:r>
      <w:r>
        <w:rPr>
          <w:rFonts w:ascii="Arial" w:hAnsi="Arial" w:cs="Arial"/>
          <w:b/>
          <w:iCs/>
          <w:color w:val="1F497D" w:themeColor="text2"/>
          <w:sz w:val="26"/>
          <w:szCs w:val="26"/>
        </w:rPr>
        <w:t xml:space="preserve"> e </w:t>
      </w:r>
      <w:r w:rsidR="00225B97">
        <w:rPr>
          <w:rFonts w:ascii="Arial" w:hAnsi="Arial" w:cs="Arial"/>
          <w:b/>
          <w:iCs/>
          <w:color w:val="1F497D" w:themeColor="text2"/>
          <w:sz w:val="26"/>
          <w:szCs w:val="26"/>
        </w:rPr>
        <w:t xml:space="preserve">con </w:t>
      </w:r>
      <w:r w:rsidR="003D1A6B">
        <w:rPr>
          <w:rFonts w:ascii="Arial" w:hAnsi="Arial" w:cs="Arial"/>
          <w:b/>
          <w:iCs/>
          <w:color w:val="1F497D" w:themeColor="text2"/>
          <w:sz w:val="26"/>
          <w:szCs w:val="26"/>
        </w:rPr>
        <w:t xml:space="preserve">forte mobilità in ingresso </w:t>
      </w:r>
      <w:r w:rsidR="00973735">
        <w:rPr>
          <w:rFonts w:ascii="Arial" w:hAnsi="Arial" w:cs="Arial"/>
          <w:b/>
          <w:iCs/>
          <w:color w:val="1F497D" w:themeColor="text2"/>
          <w:sz w:val="26"/>
          <w:szCs w:val="26"/>
        </w:rPr>
        <w:t>e</w:t>
      </w:r>
      <w:r w:rsidR="003D1A6B">
        <w:rPr>
          <w:rFonts w:ascii="Arial" w:hAnsi="Arial" w:cs="Arial"/>
          <w:b/>
          <w:iCs/>
          <w:color w:val="1F497D" w:themeColor="text2"/>
          <w:sz w:val="26"/>
          <w:szCs w:val="26"/>
        </w:rPr>
        <w:t xml:space="preserve"> in uscita</w:t>
      </w:r>
    </w:p>
    <w:p w14:paraId="2997D6DA" w14:textId="043F2053" w:rsidR="005F686E" w:rsidRPr="00F25358" w:rsidRDefault="0015425B" w:rsidP="0015425B">
      <w:pPr>
        <w:spacing w:after="120"/>
        <w:jc w:val="both"/>
        <w:outlineLvl w:val="0"/>
        <w:rPr>
          <w:rFonts w:ascii="Arial" w:hAnsi="Arial" w:cs="Arial"/>
          <w:sz w:val="22"/>
          <w:szCs w:val="22"/>
        </w:rPr>
      </w:pPr>
      <w:r>
        <w:rPr>
          <w:rFonts w:ascii="Arial" w:hAnsi="Arial" w:cs="Arial"/>
          <w:sz w:val="22"/>
          <w:szCs w:val="22"/>
        </w:rPr>
        <w:t>Nel</w:t>
      </w:r>
      <w:r w:rsidR="005F686E">
        <w:rPr>
          <w:rFonts w:ascii="Arial" w:hAnsi="Arial" w:cs="Arial"/>
          <w:sz w:val="22"/>
          <w:szCs w:val="22"/>
        </w:rPr>
        <w:t xml:space="preserve"> biennio appena trascorso sono stati complessivamente registrati poco più di 2 milioni 847mila </w:t>
      </w:r>
      <w:r w:rsidR="005F686E" w:rsidRPr="00F25358">
        <w:rPr>
          <w:rFonts w:ascii="Arial" w:hAnsi="Arial" w:cs="Arial"/>
          <w:sz w:val="22"/>
          <w:szCs w:val="22"/>
        </w:rPr>
        <w:t xml:space="preserve">trasferimenti tra Comuni (1 milione 434mila nel 2023 e 1 milione 413mila nel 2024), con una media annua lievemente </w:t>
      </w:r>
      <w:r w:rsidR="00CA71BA" w:rsidRPr="00F25358">
        <w:rPr>
          <w:rFonts w:ascii="Arial" w:hAnsi="Arial" w:cs="Arial"/>
          <w:sz w:val="22"/>
          <w:szCs w:val="22"/>
        </w:rPr>
        <w:t>in calo (-1,6%)</w:t>
      </w:r>
      <w:r w:rsidR="005F686E" w:rsidRPr="00F25358">
        <w:rPr>
          <w:rFonts w:ascii="Arial" w:hAnsi="Arial" w:cs="Arial"/>
          <w:sz w:val="22"/>
          <w:szCs w:val="22"/>
        </w:rPr>
        <w:t xml:space="preserve"> rispetto ai valori osservati nel </w:t>
      </w:r>
      <w:r w:rsidR="00660D75" w:rsidRPr="00F25358">
        <w:rPr>
          <w:rFonts w:ascii="Arial" w:hAnsi="Arial" w:cs="Arial"/>
          <w:sz w:val="22"/>
          <w:szCs w:val="22"/>
        </w:rPr>
        <w:t>biennio precedente</w:t>
      </w:r>
      <w:r w:rsidR="005F686E" w:rsidRPr="00F25358">
        <w:rPr>
          <w:rFonts w:ascii="Arial" w:hAnsi="Arial" w:cs="Arial"/>
          <w:sz w:val="22"/>
          <w:szCs w:val="22"/>
        </w:rPr>
        <w:t xml:space="preserve">, </w:t>
      </w:r>
      <w:r w:rsidR="00173B14">
        <w:rPr>
          <w:rFonts w:ascii="Arial" w:hAnsi="Arial" w:cs="Arial"/>
          <w:sz w:val="22"/>
          <w:szCs w:val="22"/>
        </w:rPr>
        <w:t xml:space="preserve">a sua volta contraddistinto </w:t>
      </w:r>
      <w:r w:rsidR="00701F79">
        <w:rPr>
          <w:rFonts w:ascii="Arial" w:hAnsi="Arial" w:cs="Arial"/>
          <w:sz w:val="22"/>
          <w:szCs w:val="22"/>
        </w:rPr>
        <w:t>dall</w:t>
      </w:r>
      <w:r w:rsidR="005F686E" w:rsidRPr="00F25358">
        <w:rPr>
          <w:rFonts w:ascii="Arial" w:hAnsi="Arial" w:cs="Arial"/>
          <w:sz w:val="22"/>
          <w:szCs w:val="22"/>
        </w:rPr>
        <w:t xml:space="preserve">a vivace ripresa della mobilità interna </w:t>
      </w:r>
      <w:r w:rsidR="00173B14">
        <w:rPr>
          <w:rFonts w:ascii="Arial" w:hAnsi="Arial" w:cs="Arial"/>
          <w:sz w:val="22"/>
          <w:szCs w:val="22"/>
        </w:rPr>
        <w:t>successiva al</w:t>
      </w:r>
      <w:r w:rsidR="005F686E" w:rsidRPr="00F25358">
        <w:rPr>
          <w:rFonts w:ascii="Arial" w:hAnsi="Arial" w:cs="Arial"/>
          <w:sz w:val="22"/>
          <w:szCs w:val="22"/>
        </w:rPr>
        <w:t xml:space="preserve">la contrazione </w:t>
      </w:r>
      <w:r w:rsidR="00701F79">
        <w:rPr>
          <w:rFonts w:ascii="Arial" w:hAnsi="Arial" w:cs="Arial"/>
          <w:sz w:val="22"/>
          <w:szCs w:val="22"/>
        </w:rPr>
        <w:t>del periodo</w:t>
      </w:r>
      <w:r w:rsidR="005F686E" w:rsidRPr="00F25358">
        <w:rPr>
          <w:rFonts w:ascii="Arial" w:hAnsi="Arial" w:cs="Arial"/>
          <w:sz w:val="22"/>
          <w:szCs w:val="22"/>
        </w:rPr>
        <w:t xml:space="preserve"> pandemi</w:t>
      </w:r>
      <w:r w:rsidR="00701F79">
        <w:rPr>
          <w:rFonts w:ascii="Arial" w:hAnsi="Arial" w:cs="Arial"/>
          <w:sz w:val="22"/>
          <w:szCs w:val="22"/>
        </w:rPr>
        <w:t>co</w:t>
      </w:r>
      <w:r w:rsidR="005F686E" w:rsidRPr="00F25358">
        <w:rPr>
          <w:rFonts w:ascii="Arial" w:hAnsi="Arial" w:cs="Arial"/>
          <w:sz w:val="22"/>
          <w:szCs w:val="22"/>
        </w:rPr>
        <w:t>.</w:t>
      </w:r>
    </w:p>
    <w:p w14:paraId="4FD37A9C" w14:textId="11C1B38E" w:rsidR="00EA2B84" w:rsidRDefault="00173B14" w:rsidP="00624529">
      <w:pPr>
        <w:spacing w:after="120"/>
        <w:jc w:val="both"/>
        <w:outlineLvl w:val="0"/>
        <w:rPr>
          <w:rFonts w:ascii="Arial" w:hAnsi="Arial" w:cs="Arial"/>
          <w:sz w:val="22"/>
          <w:szCs w:val="22"/>
        </w:rPr>
      </w:pPr>
      <w:r>
        <w:rPr>
          <w:rFonts w:ascii="Arial" w:hAnsi="Arial" w:cs="Arial"/>
          <w:sz w:val="22"/>
          <w:szCs w:val="22"/>
        </w:rPr>
        <w:t>Q</w:t>
      </w:r>
      <w:r w:rsidR="00EA2B84" w:rsidRPr="00F25358">
        <w:rPr>
          <w:rFonts w:ascii="Arial" w:hAnsi="Arial" w:cs="Arial"/>
          <w:sz w:val="22"/>
          <w:szCs w:val="22"/>
        </w:rPr>
        <w:t>uattro trasferimenti</w:t>
      </w:r>
      <w:r w:rsidR="00543C05" w:rsidRPr="00F25358">
        <w:rPr>
          <w:rFonts w:ascii="Arial" w:hAnsi="Arial" w:cs="Arial"/>
          <w:sz w:val="22"/>
          <w:szCs w:val="22"/>
        </w:rPr>
        <w:t xml:space="preserve"> interni</w:t>
      </w:r>
      <w:r w:rsidR="00EA2B84" w:rsidRPr="00F25358">
        <w:rPr>
          <w:rFonts w:ascii="Arial" w:hAnsi="Arial" w:cs="Arial"/>
          <w:sz w:val="22"/>
          <w:szCs w:val="22"/>
        </w:rPr>
        <w:t xml:space="preserve"> su cinque hanno riguardato cittadini italiani. Tuttavia, in termini relativi, i tassi di mobilità interna mostrano una propensione </w:t>
      </w:r>
      <w:r w:rsidR="00701F79">
        <w:rPr>
          <w:rFonts w:ascii="Arial" w:hAnsi="Arial" w:cs="Arial"/>
          <w:sz w:val="22"/>
          <w:szCs w:val="22"/>
        </w:rPr>
        <w:t>de</w:t>
      </w:r>
      <w:r w:rsidR="00701F79" w:rsidRPr="00F25358">
        <w:rPr>
          <w:rFonts w:ascii="Arial" w:hAnsi="Arial" w:cs="Arial"/>
          <w:sz w:val="22"/>
          <w:szCs w:val="22"/>
        </w:rPr>
        <w:t xml:space="preserve">i cittadini stranieri a spostarsi significativamente maggiore </w:t>
      </w:r>
      <w:r w:rsidR="00EA2B84" w:rsidRPr="00F25358">
        <w:rPr>
          <w:rFonts w:ascii="Arial" w:hAnsi="Arial" w:cs="Arial"/>
          <w:sz w:val="22"/>
          <w:szCs w:val="22"/>
        </w:rPr>
        <w:t>rispetto a</w:t>
      </w:r>
      <w:r w:rsidR="00701F79">
        <w:rPr>
          <w:rFonts w:ascii="Arial" w:hAnsi="Arial" w:cs="Arial"/>
          <w:sz w:val="22"/>
          <w:szCs w:val="22"/>
        </w:rPr>
        <w:t xml:space="preserve"> quella dei cittadini</w:t>
      </w:r>
      <w:r w:rsidR="00EA2B84" w:rsidRPr="00F25358">
        <w:rPr>
          <w:rFonts w:ascii="Arial" w:hAnsi="Arial" w:cs="Arial"/>
          <w:sz w:val="22"/>
          <w:szCs w:val="22"/>
        </w:rPr>
        <w:t xml:space="preserve"> italiani</w:t>
      </w:r>
      <w:r w:rsidR="000539CE">
        <w:rPr>
          <w:rFonts w:ascii="Arial" w:hAnsi="Arial" w:cs="Arial"/>
          <w:sz w:val="22"/>
          <w:szCs w:val="22"/>
        </w:rPr>
        <w:t>: n</w:t>
      </w:r>
      <w:r w:rsidR="00EA2B84" w:rsidRPr="00F25358">
        <w:rPr>
          <w:rFonts w:ascii="Arial" w:hAnsi="Arial" w:cs="Arial"/>
          <w:sz w:val="22"/>
          <w:szCs w:val="22"/>
        </w:rPr>
        <w:t>e</w:t>
      </w:r>
      <w:r w:rsidR="00FA50CC" w:rsidRPr="00F25358">
        <w:rPr>
          <w:rFonts w:ascii="Arial" w:hAnsi="Arial" w:cs="Arial"/>
          <w:sz w:val="22"/>
          <w:szCs w:val="22"/>
        </w:rPr>
        <w:t xml:space="preserve">l </w:t>
      </w:r>
      <w:r>
        <w:rPr>
          <w:rFonts w:ascii="Arial" w:hAnsi="Arial" w:cs="Arial"/>
          <w:sz w:val="22"/>
          <w:szCs w:val="22"/>
        </w:rPr>
        <w:t>2023-24</w:t>
      </w:r>
      <w:r w:rsidR="00EA2B84" w:rsidRPr="00F25358">
        <w:rPr>
          <w:rFonts w:ascii="Arial" w:hAnsi="Arial" w:cs="Arial"/>
          <w:sz w:val="22"/>
          <w:szCs w:val="22"/>
        </w:rPr>
        <w:t xml:space="preserve"> il tasso di mobilità interna medio è </w:t>
      </w:r>
      <w:r w:rsidR="00FA50CC" w:rsidRPr="00F25358">
        <w:rPr>
          <w:rFonts w:ascii="Arial" w:hAnsi="Arial" w:cs="Arial"/>
          <w:sz w:val="22"/>
          <w:szCs w:val="22"/>
        </w:rPr>
        <w:t xml:space="preserve">pari al 21,7 </w:t>
      </w:r>
      <w:r w:rsidR="00EA2B84" w:rsidRPr="00F25358">
        <w:rPr>
          <w:rFonts w:ascii="Arial" w:hAnsi="Arial" w:cs="Arial"/>
          <w:sz w:val="22"/>
          <w:szCs w:val="22"/>
        </w:rPr>
        <w:t xml:space="preserve">per mille per i cittadini italiani, </w:t>
      </w:r>
      <w:r w:rsidR="000539CE">
        <w:rPr>
          <w:rFonts w:ascii="Arial" w:hAnsi="Arial" w:cs="Arial"/>
          <w:sz w:val="22"/>
          <w:szCs w:val="22"/>
        </w:rPr>
        <w:t xml:space="preserve">oltre il doppio </w:t>
      </w:r>
      <w:r w:rsidR="00EA2B84" w:rsidRPr="00F25358">
        <w:rPr>
          <w:rFonts w:ascii="Arial" w:hAnsi="Arial" w:cs="Arial"/>
          <w:sz w:val="22"/>
          <w:szCs w:val="22"/>
        </w:rPr>
        <w:t xml:space="preserve">per gli stranieri </w:t>
      </w:r>
      <w:r w:rsidR="000539CE">
        <w:rPr>
          <w:rFonts w:ascii="Arial" w:hAnsi="Arial" w:cs="Arial"/>
          <w:sz w:val="22"/>
          <w:szCs w:val="22"/>
        </w:rPr>
        <w:t>(</w:t>
      </w:r>
      <w:r w:rsidR="00FA50CC" w:rsidRPr="00F25358">
        <w:rPr>
          <w:rFonts w:ascii="Arial" w:hAnsi="Arial" w:cs="Arial"/>
          <w:sz w:val="22"/>
          <w:szCs w:val="22"/>
        </w:rPr>
        <w:t xml:space="preserve">49,0 </w:t>
      </w:r>
      <w:r w:rsidR="00EA2B84" w:rsidRPr="00F25358">
        <w:rPr>
          <w:rFonts w:ascii="Arial" w:hAnsi="Arial" w:cs="Arial"/>
          <w:sz w:val="22"/>
          <w:szCs w:val="22"/>
        </w:rPr>
        <w:t>per mille</w:t>
      </w:r>
      <w:r w:rsidR="000539CE">
        <w:rPr>
          <w:rFonts w:ascii="Arial" w:hAnsi="Arial" w:cs="Arial"/>
          <w:sz w:val="22"/>
          <w:szCs w:val="22"/>
        </w:rPr>
        <w:t>)</w:t>
      </w:r>
      <w:r w:rsidR="00EA2B84" w:rsidRPr="00F25358">
        <w:rPr>
          <w:rFonts w:ascii="Arial" w:hAnsi="Arial" w:cs="Arial"/>
          <w:sz w:val="22"/>
          <w:szCs w:val="22"/>
        </w:rPr>
        <w:t>.</w:t>
      </w:r>
    </w:p>
    <w:p w14:paraId="11EBA483" w14:textId="6A231BD1" w:rsidR="00173B14" w:rsidRDefault="00A7058D" w:rsidP="00624529">
      <w:pPr>
        <w:spacing w:after="120"/>
        <w:jc w:val="both"/>
        <w:outlineLvl w:val="0"/>
        <w:rPr>
          <w:rFonts w:ascii="Arial" w:hAnsi="Arial" w:cs="Arial"/>
          <w:sz w:val="22"/>
          <w:szCs w:val="22"/>
        </w:rPr>
      </w:pPr>
      <w:r>
        <w:rPr>
          <w:rFonts w:ascii="Arial" w:hAnsi="Arial" w:cs="Arial"/>
          <w:sz w:val="22"/>
          <w:szCs w:val="22"/>
        </w:rPr>
        <w:t xml:space="preserve">Le iscrizioni dall’estero </w:t>
      </w:r>
      <w:r w:rsidR="00F037CB">
        <w:rPr>
          <w:rFonts w:ascii="Arial" w:hAnsi="Arial" w:cs="Arial"/>
          <w:sz w:val="22"/>
          <w:szCs w:val="22"/>
        </w:rPr>
        <w:t xml:space="preserve">(immigrazioni) </w:t>
      </w:r>
      <w:r>
        <w:rPr>
          <w:rFonts w:ascii="Arial" w:hAnsi="Arial" w:cs="Arial"/>
          <w:sz w:val="22"/>
          <w:szCs w:val="22"/>
        </w:rPr>
        <w:t>n</w:t>
      </w:r>
      <w:r w:rsidR="00047891">
        <w:rPr>
          <w:rFonts w:ascii="Arial" w:hAnsi="Arial" w:cs="Arial"/>
          <w:sz w:val="22"/>
          <w:szCs w:val="22"/>
        </w:rPr>
        <w:t xml:space="preserve">egli ultimi due anni </w:t>
      </w:r>
      <w:r>
        <w:rPr>
          <w:rFonts w:ascii="Arial" w:hAnsi="Arial" w:cs="Arial"/>
          <w:sz w:val="22"/>
          <w:szCs w:val="22"/>
        </w:rPr>
        <w:t>aumentano sensibilmente</w:t>
      </w:r>
      <w:r w:rsidR="0085489C">
        <w:rPr>
          <w:rFonts w:ascii="Arial" w:hAnsi="Arial" w:cs="Arial"/>
          <w:sz w:val="22"/>
          <w:szCs w:val="22"/>
        </w:rPr>
        <w:t>: sono in media 437mila l’anno</w:t>
      </w:r>
      <w:r>
        <w:rPr>
          <w:rFonts w:ascii="Arial" w:hAnsi="Arial" w:cs="Arial"/>
          <w:sz w:val="22"/>
          <w:szCs w:val="22"/>
        </w:rPr>
        <w:t xml:space="preserve"> </w:t>
      </w:r>
      <w:r w:rsidR="0015425B">
        <w:rPr>
          <w:rFonts w:ascii="Arial" w:hAnsi="Arial" w:cs="Arial"/>
          <w:sz w:val="22"/>
          <w:szCs w:val="22"/>
        </w:rPr>
        <w:t>(</w:t>
      </w:r>
      <w:r w:rsidR="0015425B" w:rsidRPr="00760CB6">
        <w:rPr>
          <w:rFonts w:ascii="Arial" w:hAnsi="Arial" w:cs="Arial"/>
          <w:sz w:val="22"/>
          <w:szCs w:val="22"/>
        </w:rPr>
        <w:t>4</w:t>
      </w:r>
      <w:r w:rsidR="00F037CB">
        <w:rPr>
          <w:rFonts w:ascii="Arial" w:hAnsi="Arial" w:cs="Arial"/>
          <w:sz w:val="22"/>
          <w:szCs w:val="22"/>
        </w:rPr>
        <w:t>40</w:t>
      </w:r>
      <w:r w:rsidR="0015425B" w:rsidRPr="00760CB6">
        <w:rPr>
          <w:rFonts w:ascii="Arial" w:hAnsi="Arial" w:cs="Arial"/>
          <w:sz w:val="22"/>
          <w:szCs w:val="22"/>
        </w:rPr>
        <w:t>mila</w:t>
      </w:r>
      <w:r w:rsidR="00077375">
        <w:rPr>
          <w:rFonts w:ascii="Arial" w:hAnsi="Arial" w:cs="Arial"/>
          <w:sz w:val="22"/>
          <w:szCs w:val="22"/>
        </w:rPr>
        <w:t xml:space="preserve"> nel 202</w:t>
      </w:r>
      <w:r w:rsidR="00F037CB">
        <w:rPr>
          <w:rFonts w:ascii="Arial" w:hAnsi="Arial" w:cs="Arial"/>
          <w:sz w:val="22"/>
          <w:szCs w:val="22"/>
        </w:rPr>
        <w:t>3</w:t>
      </w:r>
      <w:r w:rsidR="00077375">
        <w:rPr>
          <w:rFonts w:ascii="Arial" w:hAnsi="Arial" w:cs="Arial"/>
          <w:sz w:val="22"/>
          <w:szCs w:val="22"/>
        </w:rPr>
        <w:t xml:space="preserve"> e 4</w:t>
      </w:r>
      <w:r w:rsidR="00F037CB">
        <w:rPr>
          <w:rFonts w:ascii="Arial" w:hAnsi="Arial" w:cs="Arial"/>
          <w:sz w:val="22"/>
          <w:szCs w:val="22"/>
        </w:rPr>
        <w:t>35</w:t>
      </w:r>
      <w:r w:rsidR="00077375">
        <w:rPr>
          <w:rFonts w:ascii="Arial" w:hAnsi="Arial" w:cs="Arial"/>
          <w:sz w:val="22"/>
          <w:szCs w:val="22"/>
        </w:rPr>
        <w:t>mila nel 202</w:t>
      </w:r>
      <w:r w:rsidR="00F037CB">
        <w:rPr>
          <w:rFonts w:ascii="Arial" w:hAnsi="Arial" w:cs="Arial"/>
          <w:sz w:val="22"/>
          <w:szCs w:val="22"/>
        </w:rPr>
        <w:t>4</w:t>
      </w:r>
      <w:r w:rsidR="00701F79">
        <w:rPr>
          <w:rFonts w:ascii="Arial" w:hAnsi="Arial" w:cs="Arial"/>
          <w:sz w:val="22"/>
          <w:szCs w:val="22"/>
        </w:rPr>
        <w:t>)</w:t>
      </w:r>
      <w:r w:rsidR="00077375">
        <w:rPr>
          <w:rFonts w:ascii="Arial" w:hAnsi="Arial" w:cs="Arial"/>
          <w:sz w:val="22"/>
          <w:szCs w:val="22"/>
        </w:rPr>
        <w:t xml:space="preserve">, </w:t>
      </w:r>
      <w:r w:rsidR="0085489C">
        <w:rPr>
          <w:rFonts w:ascii="Arial" w:hAnsi="Arial" w:cs="Arial"/>
          <w:sz w:val="22"/>
          <w:szCs w:val="22"/>
        </w:rPr>
        <w:t>mediamente</w:t>
      </w:r>
      <w:r w:rsidR="00543C05" w:rsidRPr="009460B6">
        <w:rPr>
          <w:rFonts w:ascii="Arial" w:hAnsi="Arial" w:cs="Arial"/>
          <w:sz w:val="22"/>
          <w:szCs w:val="22"/>
        </w:rPr>
        <w:t xml:space="preserve"> i</w:t>
      </w:r>
      <w:r w:rsidR="00077375" w:rsidRPr="009460B6">
        <w:rPr>
          <w:rFonts w:ascii="Arial" w:hAnsi="Arial" w:cs="Arial"/>
          <w:sz w:val="22"/>
          <w:szCs w:val="22"/>
        </w:rPr>
        <w:t xml:space="preserve">l </w:t>
      </w:r>
      <w:r w:rsidR="00F037CB" w:rsidRPr="00D95929">
        <w:rPr>
          <w:rFonts w:ascii="Arial" w:hAnsi="Arial" w:cs="Arial"/>
          <w:sz w:val="22"/>
          <w:szCs w:val="22"/>
        </w:rPr>
        <w:t>6,4</w:t>
      </w:r>
      <w:r w:rsidR="00077375" w:rsidRPr="00D95929">
        <w:rPr>
          <w:rFonts w:ascii="Arial" w:hAnsi="Arial" w:cs="Arial"/>
          <w:sz w:val="22"/>
          <w:szCs w:val="22"/>
        </w:rPr>
        <w:t>%</w:t>
      </w:r>
      <w:r w:rsidR="00077375" w:rsidRPr="009460B6">
        <w:rPr>
          <w:rFonts w:ascii="Arial" w:hAnsi="Arial" w:cs="Arial"/>
          <w:sz w:val="22"/>
          <w:szCs w:val="22"/>
        </w:rPr>
        <w:t xml:space="preserve"> in più rispetto al 202</w:t>
      </w:r>
      <w:r w:rsidR="00F037CB" w:rsidRPr="009460B6">
        <w:rPr>
          <w:rFonts w:ascii="Arial" w:hAnsi="Arial" w:cs="Arial"/>
          <w:sz w:val="22"/>
          <w:szCs w:val="22"/>
        </w:rPr>
        <w:t>2</w:t>
      </w:r>
      <w:r w:rsidR="00077375" w:rsidRPr="009460B6">
        <w:rPr>
          <w:rFonts w:ascii="Arial" w:hAnsi="Arial" w:cs="Arial"/>
          <w:sz w:val="22"/>
          <w:szCs w:val="22"/>
        </w:rPr>
        <w:t xml:space="preserve"> quando</w:t>
      </w:r>
      <w:r w:rsidR="00077375">
        <w:rPr>
          <w:rFonts w:ascii="Arial" w:hAnsi="Arial" w:cs="Arial"/>
          <w:sz w:val="22"/>
          <w:szCs w:val="22"/>
        </w:rPr>
        <w:t xml:space="preserve"> </w:t>
      </w:r>
      <w:r w:rsidR="0085489C">
        <w:rPr>
          <w:rFonts w:ascii="Arial" w:hAnsi="Arial" w:cs="Arial"/>
          <w:sz w:val="22"/>
          <w:szCs w:val="22"/>
        </w:rPr>
        <w:t>ammonta</w:t>
      </w:r>
      <w:r w:rsidR="00173B14">
        <w:rPr>
          <w:rFonts w:ascii="Arial" w:hAnsi="Arial" w:cs="Arial"/>
          <w:sz w:val="22"/>
          <w:szCs w:val="22"/>
        </w:rPr>
        <w:t>ro</w:t>
      </w:r>
      <w:r w:rsidR="0085489C">
        <w:rPr>
          <w:rFonts w:ascii="Arial" w:hAnsi="Arial" w:cs="Arial"/>
          <w:sz w:val="22"/>
          <w:szCs w:val="22"/>
        </w:rPr>
        <w:t xml:space="preserve">no </w:t>
      </w:r>
      <w:r w:rsidR="00624529">
        <w:rPr>
          <w:rFonts w:ascii="Arial" w:hAnsi="Arial" w:cs="Arial"/>
          <w:sz w:val="22"/>
          <w:szCs w:val="22"/>
        </w:rPr>
        <w:t xml:space="preserve">a </w:t>
      </w:r>
      <w:r w:rsidR="009460B6">
        <w:rPr>
          <w:rFonts w:ascii="Arial" w:hAnsi="Arial" w:cs="Arial"/>
          <w:sz w:val="22"/>
          <w:szCs w:val="22"/>
        </w:rPr>
        <w:t>411mila</w:t>
      </w:r>
      <w:r w:rsidR="008A2502">
        <w:rPr>
          <w:rFonts w:ascii="Arial" w:hAnsi="Arial" w:cs="Arial"/>
          <w:sz w:val="22"/>
          <w:szCs w:val="22"/>
        </w:rPr>
        <w:t xml:space="preserve">. </w:t>
      </w:r>
      <w:r w:rsidR="005521CF">
        <w:rPr>
          <w:rFonts w:ascii="Arial" w:hAnsi="Arial" w:cs="Arial"/>
          <w:sz w:val="22"/>
          <w:szCs w:val="22"/>
        </w:rPr>
        <w:t xml:space="preserve">Tale crescita si deve esclusivamente all’aumento </w:t>
      </w:r>
      <w:r w:rsidR="005521CF" w:rsidRPr="0085489C">
        <w:rPr>
          <w:rFonts w:ascii="Arial" w:hAnsi="Arial" w:cs="Arial"/>
          <w:sz w:val="22"/>
          <w:szCs w:val="22"/>
        </w:rPr>
        <w:t>dell’immigrazione straniera (+13%</w:t>
      </w:r>
      <w:r w:rsidR="00E13FE0">
        <w:rPr>
          <w:rFonts w:ascii="Arial" w:hAnsi="Arial" w:cs="Arial"/>
          <w:sz w:val="22"/>
          <w:szCs w:val="22"/>
        </w:rPr>
        <w:t xml:space="preserve"> nel biennio rispetto al 2022</w:t>
      </w:r>
      <w:r w:rsidR="005521CF" w:rsidRPr="0085489C">
        <w:rPr>
          <w:rFonts w:ascii="Arial" w:hAnsi="Arial" w:cs="Arial"/>
          <w:sz w:val="22"/>
          <w:szCs w:val="22"/>
        </w:rPr>
        <w:t xml:space="preserve">), mentre </w:t>
      </w:r>
      <w:r w:rsidR="00543C05" w:rsidRPr="0085489C">
        <w:rPr>
          <w:rFonts w:ascii="Arial" w:hAnsi="Arial" w:cs="Arial"/>
          <w:sz w:val="22"/>
          <w:szCs w:val="22"/>
        </w:rPr>
        <w:t xml:space="preserve">le immigrazioni dei </w:t>
      </w:r>
      <w:r w:rsidR="005521CF" w:rsidRPr="0085489C">
        <w:rPr>
          <w:rFonts w:ascii="Arial" w:hAnsi="Arial" w:cs="Arial"/>
          <w:sz w:val="22"/>
          <w:szCs w:val="22"/>
        </w:rPr>
        <w:t>cittadini italiani</w:t>
      </w:r>
      <w:r w:rsidR="00543C05" w:rsidRPr="0085489C">
        <w:rPr>
          <w:rFonts w:ascii="Arial" w:hAnsi="Arial" w:cs="Arial"/>
          <w:sz w:val="22"/>
          <w:szCs w:val="22"/>
        </w:rPr>
        <w:t xml:space="preserve"> (rimpatri)</w:t>
      </w:r>
      <w:r w:rsidR="005521CF" w:rsidRPr="0085489C">
        <w:rPr>
          <w:rFonts w:ascii="Arial" w:hAnsi="Arial" w:cs="Arial"/>
          <w:sz w:val="22"/>
          <w:szCs w:val="22"/>
        </w:rPr>
        <w:t xml:space="preserve"> risultano in calo (-23,6%). </w:t>
      </w:r>
    </w:p>
    <w:p w14:paraId="71464E4F" w14:textId="3E4F19AF" w:rsidR="00D86712" w:rsidRDefault="009718E2" w:rsidP="00624529">
      <w:pPr>
        <w:spacing w:after="120"/>
        <w:jc w:val="both"/>
        <w:outlineLvl w:val="0"/>
        <w:rPr>
          <w:rFonts w:ascii="Arial" w:hAnsi="Arial" w:cs="Arial"/>
          <w:sz w:val="22"/>
          <w:szCs w:val="22"/>
        </w:rPr>
      </w:pPr>
      <w:r w:rsidRPr="0085489C">
        <w:rPr>
          <w:rFonts w:ascii="Arial" w:hAnsi="Arial" w:cs="Arial"/>
          <w:sz w:val="22"/>
          <w:szCs w:val="22"/>
        </w:rPr>
        <w:t>Il</w:t>
      </w:r>
      <w:r w:rsidRPr="009718E2">
        <w:rPr>
          <w:rFonts w:ascii="Arial" w:hAnsi="Arial" w:cs="Arial"/>
          <w:sz w:val="22"/>
          <w:szCs w:val="22"/>
        </w:rPr>
        <w:t xml:space="preserve"> consistente aumento dei flussi di immigrazione straniera</w:t>
      </w:r>
      <w:r>
        <w:rPr>
          <w:rFonts w:ascii="Arial" w:hAnsi="Arial" w:cs="Arial"/>
          <w:sz w:val="22"/>
          <w:szCs w:val="22"/>
        </w:rPr>
        <w:t xml:space="preserve"> degli ultimi anni</w:t>
      </w:r>
      <w:r w:rsidRPr="009718E2">
        <w:rPr>
          <w:rFonts w:ascii="Arial" w:hAnsi="Arial" w:cs="Arial"/>
          <w:sz w:val="22"/>
          <w:szCs w:val="22"/>
        </w:rPr>
        <w:t xml:space="preserve"> è anche il risultato di crisi e conflitti internazionali che hanno condizionato gli equilibri geopolitici provocando </w:t>
      </w:r>
      <w:r>
        <w:rPr>
          <w:rFonts w:ascii="Arial" w:hAnsi="Arial" w:cs="Arial"/>
          <w:sz w:val="22"/>
          <w:szCs w:val="22"/>
        </w:rPr>
        <w:t>crisi umanitarie su larga scala</w:t>
      </w:r>
      <w:r w:rsidRPr="009718E2">
        <w:rPr>
          <w:rFonts w:ascii="Arial" w:hAnsi="Arial" w:cs="Arial"/>
          <w:sz w:val="22"/>
          <w:szCs w:val="22"/>
        </w:rPr>
        <w:t>. È il caso dell’eccezionale incremento dei flussi dall’Ucraina causa</w:t>
      </w:r>
      <w:r w:rsidR="0056065C">
        <w:rPr>
          <w:rFonts w:ascii="Arial" w:hAnsi="Arial" w:cs="Arial"/>
          <w:sz w:val="22"/>
          <w:szCs w:val="22"/>
        </w:rPr>
        <w:t>to</w:t>
      </w:r>
      <w:r w:rsidRPr="009718E2">
        <w:rPr>
          <w:rFonts w:ascii="Arial" w:hAnsi="Arial" w:cs="Arial"/>
          <w:sz w:val="22"/>
          <w:szCs w:val="22"/>
        </w:rPr>
        <w:t xml:space="preserve"> del conflitto in corso dal 2022, che </w:t>
      </w:r>
      <w:r w:rsidR="004936BB">
        <w:rPr>
          <w:rFonts w:ascii="Arial" w:hAnsi="Arial" w:cs="Arial"/>
          <w:sz w:val="22"/>
          <w:szCs w:val="22"/>
        </w:rPr>
        <w:t>l’</w:t>
      </w:r>
      <w:r w:rsidRPr="009718E2">
        <w:rPr>
          <w:rFonts w:ascii="Arial" w:hAnsi="Arial" w:cs="Arial"/>
          <w:sz w:val="22"/>
          <w:szCs w:val="22"/>
        </w:rPr>
        <w:t>ha res</w:t>
      </w:r>
      <w:r w:rsidR="004936BB">
        <w:rPr>
          <w:rFonts w:ascii="Arial" w:hAnsi="Arial" w:cs="Arial"/>
          <w:sz w:val="22"/>
          <w:szCs w:val="22"/>
        </w:rPr>
        <w:t>a</w:t>
      </w:r>
      <w:r w:rsidRPr="009718E2">
        <w:rPr>
          <w:rFonts w:ascii="Arial" w:hAnsi="Arial" w:cs="Arial"/>
          <w:sz w:val="22"/>
          <w:szCs w:val="22"/>
        </w:rPr>
        <w:t xml:space="preserve"> il principale </w:t>
      </w:r>
      <w:r w:rsidR="00173B14">
        <w:rPr>
          <w:rFonts w:ascii="Arial" w:hAnsi="Arial" w:cs="Arial"/>
          <w:sz w:val="22"/>
          <w:szCs w:val="22"/>
        </w:rPr>
        <w:t>P</w:t>
      </w:r>
      <w:r w:rsidR="00173B14" w:rsidRPr="009718E2">
        <w:rPr>
          <w:rFonts w:ascii="Arial" w:hAnsi="Arial" w:cs="Arial"/>
          <w:sz w:val="22"/>
          <w:szCs w:val="22"/>
        </w:rPr>
        <w:t xml:space="preserve">aese </w:t>
      </w:r>
      <w:r w:rsidRPr="009718E2">
        <w:rPr>
          <w:rFonts w:ascii="Arial" w:hAnsi="Arial" w:cs="Arial"/>
          <w:sz w:val="22"/>
          <w:szCs w:val="22"/>
        </w:rPr>
        <w:t>di provenienza.</w:t>
      </w:r>
      <w:r>
        <w:rPr>
          <w:rFonts w:ascii="Arial" w:hAnsi="Arial" w:cs="Arial"/>
          <w:sz w:val="22"/>
          <w:szCs w:val="22"/>
        </w:rPr>
        <w:t xml:space="preserve"> Rientrano nel novero anche</w:t>
      </w:r>
      <w:r w:rsidR="00F51624">
        <w:rPr>
          <w:rFonts w:ascii="Arial" w:hAnsi="Arial" w:cs="Arial"/>
          <w:sz w:val="22"/>
          <w:szCs w:val="22"/>
        </w:rPr>
        <w:t xml:space="preserve"> a</w:t>
      </w:r>
      <w:r w:rsidR="00F51624" w:rsidRPr="00F51624">
        <w:rPr>
          <w:rFonts w:ascii="Arial" w:hAnsi="Arial" w:cs="Arial"/>
          <w:sz w:val="22"/>
          <w:szCs w:val="22"/>
        </w:rPr>
        <w:t>ltr</w:t>
      </w:r>
      <w:r w:rsidR="00F51624">
        <w:rPr>
          <w:rFonts w:ascii="Arial" w:hAnsi="Arial" w:cs="Arial"/>
          <w:sz w:val="22"/>
          <w:szCs w:val="22"/>
        </w:rPr>
        <w:t xml:space="preserve">e situazioni di conflitto e </w:t>
      </w:r>
      <w:r w:rsidR="00F51624" w:rsidRPr="00F51624">
        <w:rPr>
          <w:rFonts w:ascii="Arial" w:hAnsi="Arial" w:cs="Arial"/>
          <w:sz w:val="22"/>
          <w:szCs w:val="22"/>
        </w:rPr>
        <w:t>instabilità</w:t>
      </w:r>
      <w:r>
        <w:rPr>
          <w:rFonts w:ascii="Arial" w:hAnsi="Arial" w:cs="Arial"/>
          <w:sz w:val="22"/>
          <w:szCs w:val="22"/>
        </w:rPr>
        <w:t>,</w:t>
      </w:r>
      <w:r w:rsidR="00F51624">
        <w:rPr>
          <w:rFonts w:ascii="Arial" w:hAnsi="Arial" w:cs="Arial"/>
          <w:sz w:val="22"/>
          <w:szCs w:val="22"/>
        </w:rPr>
        <w:t xml:space="preserve"> specialmente in </w:t>
      </w:r>
      <w:r w:rsidR="00F51624" w:rsidRPr="00F51624">
        <w:rPr>
          <w:rFonts w:ascii="Arial" w:hAnsi="Arial" w:cs="Arial"/>
          <w:sz w:val="22"/>
          <w:szCs w:val="22"/>
        </w:rPr>
        <w:t>Medio</w:t>
      </w:r>
      <w:r w:rsidR="00543C05">
        <w:rPr>
          <w:rFonts w:ascii="Arial" w:hAnsi="Arial" w:cs="Arial"/>
          <w:sz w:val="22"/>
          <w:szCs w:val="22"/>
        </w:rPr>
        <w:t xml:space="preserve"> </w:t>
      </w:r>
      <w:r w:rsidR="00F51624" w:rsidRPr="00F51624">
        <w:rPr>
          <w:rFonts w:ascii="Arial" w:hAnsi="Arial" w:cs="Arial"/>
          <w:sz w:val="22"/>
          <w:szCs w:val="22"/>
        </w:rPr>
        <w:t xml:space="preserve">Oriente e </w:t>
      </w:r>
      <w:r w:rsidR="00173B14">
        <w:rPr>
          <w:rFonts w:ascii="Arial" w:hAnsi="Arial" w:cs="Arial"/>
          <w:sz w:val="22"/>
          <w:szCs w:val="22"/>
        </w:rPr>
        <w:t xml:space="preserve">in </w:t>
      </w:r>
      <w:r w:rsidR="00F51624" w:rsidRPr="00F51624">
        <w:rPr>
          <w:rFonts w:ascii="Arial" w:hAnsi="Arial" w:cs="Arial"/>
          <w:sz w:val="22"/>
          <w:szCs w:val="22"/>
        </w:rPr>
        <w:t>Africa</w:t>
      </w:r>
      <w:r w:rsidR="00F51624">
        <w:rPr>
          <w:rFonts w:ascii="Arial" w:hAnsi="Arial" w:cs="Arial"/>
          <w:sz w:val="22"/>
          <w:szCs w:val="22"/>
        </w:rPr>
        <w:t>,</w:t>
      </w:r>
      <w:r w:rsidR="00F51624" w:rsidRPr="00F51624">
        <w:rPr>
          <w:rFonts w:ascii="Arial" w:hAnsi="Arial" w:cs="Arial"/>
          <w:sz w:val="22"/>
          <w:szCs w:val="22"/>
        </w:rPr>
        <w:t xml:space="preserve"> </w:t>
      </w:r>
      <w:r>
        <w:rPr>
          <w:rFonts w:ascii="Arial" w:hAnsi="Arial" w:cs="Arial"/>
          <w:sz w:val="22"/>
          <w:szCs w:val="22"/>
        </w:rPr>
        <w:t xml:space="preserve">che </w:t>
      </w:r>
      <w:r w:rsidR="00F51624" w:rsidRPr="00F51624">
        <w:rPr>
          <w:rFonts w:ascii="Arial" w:hAnsi="Arial" w:cs="Arial"/>
          <w:sz w:val="22"/>
          <w:szCs w:val="22"/>
        </w:rPr>
        <w:t xml:space="preserve">hanno contribuito </w:t>
      </w:r>
      <w:r w:rsidR="00F51624">
        <w:rPr>
          <w:rFonts w:ascii="Arial" w:hAnsi="Arial" w:cs="Arial"/>
          <w:sz w:val="22"/>
          <w:szCs w:val="22"/>
        </w:rPr>
        <w:t>a intensificare i</w:t>
      </w:r>
      <w:r w:rsidR="00F51624" w:rsidRPr="00F51624">
        <w:rPr>
          <w:rFonts w:ascii="Arial" w:hAnsi="Arial" w:cs="Arial"/>
          <w:sz w:val="22"/>
          <w:szCs w:val="22"/>
        </w:rPr>
        <w:t>l numero di rifugiati e richiedenti asilo</w:t>
      </w:r>
      <w:r w:rsidR="00F51624">
        <w:rPr>
          <w:rFonts w:ascii="Arial" w:hAnsi="Arial" w:cs="Arial"/>
          <w:sz w:val="22"/>
          <w:szCs w:val="22"/>
        </w:rPr>
        <w:t xml:space="preserve"> e ad aumentare la pressione migratoria.</w:t>
      </w:r>
    </w:p>
    <w:p w14:paraId="51D92BEE" w14:textId="50C422AE" w:rsidR="009718E2" w:rsidRDefault="009718E2" w:rsidP="00C74420">
      <w:pPr>
        <w:spacing w:after="120"/>
        <w:jc w:val="both"/>
        <w:outlineLvl w:val="0"/>
        <w:rPr>
          <w:rFonts w:ascii="Arial" w:hAnsi="Arial" w:cs="Arial"/>
          <w:sz w:val="22"/>
          <w:szCs w:val="22"/>
        </w:rPr>
      </w:pPr>
      <w:r>
        <w:rPr>
          <w:rFonts w:ascii="Arial" w:hAnsi="Arial" w:cs="Arial"/>
          <w:sz w:val="22"/>
          <w:szCs w:val="22"/>
        </w:rPr>
        <w:t>In deciso aumento l</w:t>
      </w:r>
      <w:r w:rsidR="009A2F01">
        <w:rPr>
          <w:rFonts w:ascii="Arial" w:hAnsi="Arial" w:cs="Arial"/>
          <w:sz w:val="22"/>
          <w:szCs w:val="22"/>
        </w:rPr>
        <w:t>e cancellazioni per l’estero</w:t>
      </w:r>
      <w:r>
        <w:rPr>
          <w:rFonts w:ascii="Arial" w:hAnsi="Arial" w:cs="Arial"/>
          <w:sz w:val="22"/>
          <w:szCs w:val="22"/>
        </w:rPr>
        <w:t xml:space="preserve"> (emigrazioni) che si attestano mediamente a 175mila l’anno nel corso del biennio 2023-2024 (158mila nel 2023 e 191mila nel 2024), </w:t>
      </w:r>
      <w:r w:rsidR="0085489C">
        <w:rPr>
          <w:rFonts w:ascii="Arial" w:hAnsi="Arial" w:cs="Arial"/>
          <w:sz w:val="22"/>
          <w:szCs w:val="22"/>
        </w:rPr>
        <w:t xml:space="preserve">registrando </w:t>
      </w:r>
      <w:r>
        <w:rPr>
          <w:rFonts w:ascii="Arial" w:hAnsi="Arial" w:cs="Arial"/>
          <w:sz w:val="22"/>
          <w:szCs w:val="22"/>
        </w:rPr>
        <w:t xml:space="preserve">un </w:t>
      </w:r>
      <w:r w:rsidR="0085489C">
        <w:rPr>
          <w:rFonts w:ascii="Arial" w:hAnsi="Arial" w:cs="Arial"/>
          <w:sz w:val="22"/>
          <w:szCs w:val="22"/>
        </w:rPr>
        <w:t>aumento del 16,3% rispetto al 2022,</w:t>
      </w:r>
      <w:r>
        <w:rPr>
          <w:rFonts w:ascii="Arial" w:hAnsi="Arial" w:cs="Arial"/>
          <w:sz w:val="22"/>
          <w:szCs w:val="22"/>
        </w:rPr>
        <w:t xml:space="preserve"> quando ammonta</w:t>
      </w:r>
      <w:r w:rsidR="00173B14">
        <w:rPr>
          <w:rFonts w:ascii="Arial" w:hAnsi="Arial" w:cs="Arial"/>
          <w:sz w:val="22"/>
          <w:szCs w:val="22"/>
        </w:rPr>
        <w:t>ro</w:t>
      </w:r>
      <w:r>
        <w:rPr>
          <w:rFonts w:ascii="Arial" w:hAnsi="Arial" w:cs="Arial"/>
          <w:sz w:val="22"/>
          <w:szCs w:val="22"/>
        </w:rPr>
        <w:t xml:space="preserve">no a </w:t>
      </w:r>
      <w:r w:rsidR="0085489C">
        <w:rPr>
          <w:rFonts w:ascii="Arial" w:hAnsi="Arial" w:cs="Arial"/>
          <w:sz w:val="22"/>
          <w:szCs w:val="22"/>
        </w:rPr>
        <w:t>150mila</w:t>
      </w:r>
      <w:r>
        <w:rPr>
          <w:rFonts w:ascii="Arial" w:hAnsi="Arial" w:cs="Arial"/>
          <w:sz w:val="22"/>
          <w:szCs w:val="22"/>
        </w:rPr>
        <w:t>. L’aumento delle emigrazioni è trainato esclusivamente da</w:t>
      </w:r>
      <w:r w:rsidR="00543C05">
        <w:rPr>
          <w:rFonts w:ascii="Arial" w:hAnsi="Arial" w:cs="Arial"/>
          <w:sz w:val="22"/>
          <w:szCs w:val="22"/>
        </w:rPr>
        <w:t xml:space="preserve">i flussi in uscita </w:t>
      </w:r>
      <w:r>
        <w:rPr>
          <w:rFonts w:ascii="Arial" w:hAnsi="Arial" w:cs="Arial"/>
          <w:sz w:val="22"/>
          <w:szCs w:val="22"/>
        </w:rPr>
        <w:t>dei cittadini italiani</w:t>
      </w:r>
      <w:r w:rsidR="00543C05">
        <w:rPr>
          <w:rFonts w:ascii="Arial" w:hAnsi="Arial" w:cs="Arial"/>
          <w:sz w:val="22"/>
          <w:szCs w:val="22"/>
        </w:rPr>
        <w:t xml:space="preserve"> (espatri) che ammontano a </w:t>
      </w:r>
      <w:r>
        <w:rPr>
          <w:rFonts w:ascii="Arial" w:hAnsi="Arial" w:cs="Arial"/>
          <w:sz w:val="22"/>
          <w:szCs w:val="22"/>
        </w:rPr>
        <w:t>114mila nel 2023 e 156mila nel 2024</w:t>
      </w:r>
      <w:r w:rsidR="00543C05">
        <w:rPr>
          <w:rFonts w:ascii="Arial" w:hAnsi="Arial" w:cs="Arial"/>
          <w:sz w:val="22"/>
          <w:szCs w:val="22"/>
        </w:rPr>
        <w:t xml:space="preserve"> (</w:t>
      </w:r>
      <w:r>
        <w:rPr>
          <w:rFonts w:ascii="Arial" w:hAnsi="Arial" w:cs="Arial"/>
          <w:sz w:val="22"/>
          <w:szCs w:val="22"/>
        </w:rPr>
        <w:t xml:space="preserve">contro </w:t>
      </w:r>
      <w:r w:rsidR="00E13FE0">
        <w:rPr>
          <w:rFonts w:ascii="Arial" w:hAnsi="Arial" w:cs="Arial"/>
          <w:sz w:val="22"/>
          <w:szCs w:val="22"/>
        </w:rPr>
        <w:t>99</w:t>
      </w:r>
      <w:r>
        <w:rPr>
          <w:rFonts w:ascii="Arial" w:hAnsi="Arial" w:cs="Arial"/>
          <w:sz w:val="22"/>
          <w:szCs w:val="22"/>
        </w:rPr>
        <w:t xml:space="preserve">mila espatri nel </w:t>
      </w:r>
      <w:r w:rsidR="00E13FE0">
        <w:rPr>
          <w:rFonts w:ascii="Arial" w:hAnsi="Arial" w:cs="Arial"/>
          <w:sz w:val="22"/>
          <w:szCs w:val="22"/>
        </w:rPr>
        <w:t>2022</w:t>
      </w:r>
      <w:r>
        <w:rPr>
          <w:rFonts w:ascii="Arial" w:hAnsi="Arial" w:cs="Arial"/>
          <w:sz w:val="22"/>
          <w:szCs w:val="22"/>
        </w:rPr>
        <w:t>)</w:t>
      </w:r>
      <w:r w:rsidR="001730E3">
        <w:rPr>
          <w:rFonts w:ascii="Arial" w:hAnsi="Arial" w:cs="Arial"/>
          <w:sz w:val="22"/>
          <w:szCs w:val="22"/>
        </w:rPr>
        <w:t>. Al contrario, le emigr</w:t>
      </w:r>
      <w:r w:rsidR="00B21AFD">
        <w:rPr>
          <w:rFonts w:ascii="Arial" w:hAnsi="Arial" w:cs="Arial"/>
          <w:sz w:val="22"/>
          <w:szCs w:val="22"/>
        </w:rPr>
        <w:t>azioni dei cittadini stranieri</w:t>
      </w:r>
      <w:r w:rsidR="001730E3">
        <w:rPr>
          <w:rFonts w:ascii="Arial" w:hAnsi="Arial" w:cs="Arial"/>
          <w:sz w:val="22"/>
          <w:szCs w:val="22"/>
        </w:rPr>
        <w:t xml:space="preserve"> rimangono stabili e contenute e si attestano a</w:t>
      </w:r>
      <w:r w:rsidR="00B21AFD">
        <w:rPr>
          <w:rFonts w:ascii="Arial" w:hAnsi="Arial" w:cs="Arial"/>
          <w:sz w:val="22"/>
          <w:szCs w:val="22"/>
        </w:rPr>
        <w:t xml:space="preserve"> poco meno di 40mila l’anno</w:t>
      </w:r>
      <w:r w:rsidR="00CA71BA">
        <w:rPr>
          <w:rFonts w:ascii="Arial" w:hAnsi="Arial" w:cs="Arial"/>
          <w:sz w:val="22"/>
          <w:szCs w:val="22"/>
        </w:rPr>
        <w:t xml:space="preserve"> nel biennio considerato</w:t>
      </w:r>
      <w:r w:rsidR="001730E3">
        <w:rPr>
          <w:rFonts w:ascii="Arial" w:hAnsi="Arial" w:cs="Arial"/>
          <w:sz w:val="22"/>
          <w:szCs w:val="22"/>
        </w:rPr>
        <w:t>.</w:t>
      </w:r>
      <w:r w:rsidR="00B21AFD">
        <w:rPr>
          <w:rFonts w:ascii="Arial" w:hAnsi="Arial" w:cs="Arial"/>
          <w:sz w:val="22"/>
          <w:szCs w:val="22"/>
        </w:rPr>
        <w:t xml:space="preserve"> </w:t>
      </w:r>
    </w:p>
    <w:p w14:paraId="5F965CC3" w14:textId="5F66E5C1" w:rsidR="00F037CB" w:rsidRDefault="00F037CB" w:rsidP="00EA6560">
      <w:pPr>
        <w:spacing w:after="120"/>
        <w:jc w:val="both"/>
        <w:outlineLvl w:val="0"/>
        <w:rPr>
          <w:rFonts w:ascii="Arial" w:hAnsi="Arial" w:cs="Arial"/>
          <w:sz w:val="22"/>
          <w:szCs w:val="22"/>
        </w:rPr>
      </w:pPr>
    </w:p>
    <w:p w14:paraId="098916BA" w14:textId="77777777" w:rsidR="00FD67EA" w:rsidRDefault="00FD67EA" w:rsidP="00EA6560">
      <w:pPr>
        <w:spacing w:after="120"/>
        <w:jc w:val="both"/>
        <w:outlineLvl w:val="0"/>
        <w:rPr>
          <w:rFonts w:ascii="Arial" w:hAnsi="Arial" w:cs="Arial"/>
          <w:sz w:val="22"/>
          <w:szCs w:val="22"/>
        </w:rPr>
      </w:pPr>
    </w:p>
    <w:p w14:paraId="5972F841" w14:textId="77777777" w:rsidR="008E6CB6" w:rsidRDefault="008E6CB6" w:rsidP="00EA6560">
      <w:pPr>
        <w:spacing w:after="120"/>
        <w:jc w:val="both"/>
        <w:outlineLvl w:val="0"/>
        <w:rPr>
          <w:rFonts w:ascii="Arial" w:hAnsi="Arial" w:cs="Arial"/>
          <w:sz w:val="22"/>
          <w:szCs w:val="22"/>
        </w:rPr>
      </w:pPr>
    </w:p>
    <w:p w14:paraId="71956140" w14:textId="77777777" w:rsidR="008E6CB6" w:rsidRDefault="008E6CB6" w:rsidP="00EA6560">
      <w:pPr>
        <w:spacing w:after="120"/>
        <w:jc w:val="both"/>
        <w:outlineLvl w:val="0"/>
        <w:rPr>
          <w:rFonts w:ascii="Arial" w:hAnsi="Arial" w:cs="Arial"/>
          <w:sz w:val="22"/>
          <w:szCs w:val="22"/>
        </w:rPr>
      </w:pPr>
    </w:p>
    <w:p w14:paraId="1F02C196" w14:textId="77777777" w:rsidR="008E6CB6" w:rsidRDefault="008E6CB6" w:rsidP="00EA6560">
      <w:pPr>
        <w:spacing w:after="120"/>
        <w:jc w:val="both"/>
        <w:outlineLvl w:val="0"/>
        <w:rPr>
          <w:rFonts w:ascii="Arial" w:hAnsi="Arial" w:cs="Arial"/>
          <w:sz w:val="22"/>
          <w:szCs w:val="22"/>
        </w:rPr>
      </w:pPr>
    </w:p>
    <w:p w14:paraId="143ED060" w14:textId="77777777" w:rsidR="008E6CB6" w:rsidRDefault="008E6CB6" w:rsidP="00EA6560">
      <w:pPr>
        <w:spacing w:after="120"/>
        <w:jc w:val="both"/>
        <w:outlineLvl w:val="0"/>
        <w:rPr>
          <w:rFonts w:ascii="Arial" w:hAnsi="Arial" w:cs="Arial"/>
          <w:sz w:val="22"/>
          <w:szCs w:val="22"/>
        </w:rPr>
      </w:pPr>
    </w:p>
    <w:p w14:paraId="568A38E8" w14:textId="77777777" w:rsidR="008E6CB6" w:rsidRPr="00FD67EA" w:rsidRDefault="008E6CB6" w:rsidP="00D95929">
      <w:pPr>
        <w:jc w:val="both"/>
        <w:outlineLvl w:val="0"/>
        <w:rPr>
          <w:rFonts w:ascii="Arial" w:hAnsi="Arial" w:cs="Arial"/>
          <w:sz w:val="32"/>
          <w:szCs w:val="22"/>
        </w:rPr>
      </w:pPr>
    </w:p>
    <w:p w14:paraId="30AC6C4D" w14:textId="1AE9E131" w:rsidR="001537BE" w:rsidRDefault="001537BE" w:rsidP="00D95929">
      <w:pPr>
        <w:autoSpaceDE w:val="0"/>
        <w:autoSpaceDN w:val="0"/>
        <w:adjustRightInd w:val="0"/>
        <w:spacing w:after="40"/>
        <w:jc w:val="both"/>
        <w:rPr>
          <w:rFonts w:ascii="Arial Narrow" w:hAnsi="Arial Narrow" w:cs="Arial"/>
          <w:iCs/>
          <w:noProof/>
          <w:color w:val="1F497D" w:themeColor="text2"/>
          <w:sz w:val="22"/>
          <w:szCs w:val="22"/>
        </w:rPr>
      </w:pPr>
      <w:r w:rsidRPr="002E3E15">
        <w:rPr>
          <w:rFonts w:ascii="Arial Black" w:hAnsi="Arial Black" w:cs="Arial"/>
          <w:b/>
          <w:iCs/>
          <w:noProof/>
          <w:color w:val="1F497D" w:themeColor="text2"/>
          <w:sz w:val="22"/>
          <w:szCs w:val="22"/>
        </w:rPr>
        <w:t>MOVIME</w:t>
      </w:r>
      <w:r>
        <w:rPr>
          <w:rFonts w:ascii="Arial Black" w:hAnsi="Arial Black" w:cs="Arial"/>
          <w:b/>
          <w:iCs/>
          <w:noProof/>
          <w:color w:val="1F497D" w:themeColor="text2"/>
          <w:sz w:val="22"/>
          <w:szCs w:val="22"/>
        </w:rPr>
        <w:t xml:space="preserve">NTO MIGRATORIO DELLA POPOLAZIONE RESIDENTE PER CITTADINANZA </w:t>
      </w:r>
      <w:r w:rsidR="003A00B2">
        <w:rPr>
          <w:rFonts w:ascii="Arial Black" w:hAnsi="Arial Black" w:cs="Arial"/>
          <w:b/>
          <w:iCs/>
          <w:noProof/>
          <w:color w:val="1F497D" w:themeColor="text2"/>
          <w:sz w:val="22"/>
          <w:szCs w:val="22"/>
        </w:rPr>
        <w:t>(</w:t>
      </w:r>
      <w:r w:rsidRPr="002E3E15">
        <w:rPr>
          <w:rFonts w:ascii="Arial Black" w:hAnsi="Arial Black" w:cs="Arial"/>
          <w:b/>
          <w:iCs/>
          <w:noProof/>
          <w:color w:val="1F497D" w:themeColor="text2"/>
          <w:sz w:val="22"/>
          <w:szCs w:val="22"/>
        </w:rPr>
        <w:t>ITALIAN</w:t>
      </w:r>
      <w:r>
        <w:rPr>
          <w:rFonts w:ascii="Arial Black" w:hAnsi="Arial Black" w:cs="Arial"/>
          <w:b/>
          <w:iCs/>
          <w:noProof/>
          <w:color w:val="1F497D" w:themeColor="text2"/>
          <w:sz w:val="22"/>
          <w:szCs w:val="22"/>
        </w:rPr>
        <w:t>A/STRANIERA</w:t>
      </w:r>
      <w:r w:rsidR="003A00B2">
        <w:rPr>
          <w:rFonts w:ascii="Arial Black" w:hAnsi="Arial Black" w:cs="Arial"/>
          <w:b/>
          <w:iCs/>
          <w:noProof/>
          <w:color w:val="1F497D" w:themeColor="text2"/>
          <w:sz w:val="22"/>
          <w:szCs w:val="22"/>
        </w:rPr>
        <w:t>)</w:t>
      </w:r>
      <w:r w:rsidRPr="00FB204E">
        <w:rPr>
          <w:rFonts w:ascii="Arial Narrow" w:hAnsi="Arial Narrow" w:cs="Arial"/>
          <w:b/>
          <w:iCs/>
          <w:noProof/>
          <w:color w:val="1F497D" w:themeColor="text2"/>
          <w:sz w:val="22"/>
          <w:szCs w:val="22"/>
        </w:rPr>
        <w:t>.</w:t>
      </w:r>
      <w:r>
        <w:rPr>
          <w:rFonts w:ascii="Arial Narrow" w:hAnsi="Arial Narrow" w:cs="Arial"/>
          <w:b/>
          <w:iCs/>
          <w:noProof/>
          <w:color w:val="1F497D" w:themeColor="text2"/>
          <w:sz w:val="22"/>
          <w:szCs w:val="22"/>
        </w:rPr>
        <w:t xml:space="preserve"> </w:t>
      </w:r>
      <w:r w:rsidRPr="0012394C">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i</w:t>
      </w:r>
      <w:r w:rsidRPr="0012394C">
        <w:rPr>
          <w:rFonts w:ascii="Arial Narrow" w:hAnsi="Arial Narrow" w:cs="Arial"/>
          <w:iCs/>
          <w:noProof/>
          <w:color w:val="1F497D" w:themeColor="text2"/>
          <w:sz w:val="22"/>
          <w:szCs w:val="22"/>
        </w:rPr>
        <w:t xml:space="preserve"> </w:t>
      </w:r>
      <w:r>
        <w:rPr>
          <w:rFonts w:ascii="Arial Narrow" w:hAnsi="Arial Narrow" w:cs="Arial"/>
          <w:iCs/>
          <w:noProof/>
          <w:color w:val="1F497D" w:themeColor="text2"/>
          <w:sz w:val="22"/>
          <w:szCs w:val="22"/>
        </w:rPr>
        <w:t>201</w:t>
      </w:r>
      <w:r w:rsidR="0026221F">
        <w:rPr>
          <w:rFonts w:ascii="Arial Narrow" w:hAnsi="Arial Narrow" w:cs="Arial"/>
          <w:iCs/>
          <w:noProof/>
          <w:color w:val="1F497D" w:themeColor="text2"/>
          <w:sz w:val="22"/>
          <w:szCs w:val="22"/>
        </w:rPr>
        <w:t>4-202</w:t>
      </w:r>
      <w:r w:rsidR="00EA2B84">
        <w:rPr>
          <w:rFonts w:ascii="Arial Narrow" w:hAnsi="Arial Narrow" w:cs="Arial"/>
          <w:iCs/>
          <w:noProof/>
          <w:color w:val="1F497D" w:themeColor="text2"/>
          <w:sz w:val="22"/>
          <w:szCs w:val="22"/>
        </w:rPr>
        <w:t>4</w:t>
      </w:r>
    </w:p>
    <w:tbl>
      <w:tblPr>
        <w:tblW w:w="9781" w:type="dxa"/>
        <w:tblBorders>
          <w:top w:val="single" w:sz="4" w:space="0" w:color="FFFFFF" w:themeColor="background1"/>
          <w:bottom w:val="single" w:sz="4" w:space="0" w:color="FFFFFF" w:themeColor="background1"/>
          <w:insideH w:val="single" w:sz="4" w:space="0" w:color="FFFFFF" w:themeColor="background1"/>
        </w:tblBorders>
        <w:tblCellMar>
          <w:left w:w="70" w:type="dxa"/>
          <w:right w:w="70" w:type="dxa"/>
        </w:tblCellMar>
        <w:tblLook w:val="04A0" w:firstRow="1" w:lastRow="0" w:firstColumn="1" w:lastColumn="0" w:noHBand="0" w:noVBand="1"/>
      </w:tblPr>
      <w:tblGrid>
        <w:gridCol w:w="960"/>
        <w:gridCol w:w="978"/>
        <w:gridCol w:w="1039"/>
        <w:gridCol w:w="992"/>
        <w:gridCol w:w="1055"/>
        <w:gridCol w:w="1072"/>
        <w:gridCol w:w="850"/>
        <w:gridCol w:w="992"/>
        <w:gridCol w:w="993"/>
        <w:gridCol w:w="850"/>
      </w:tblGrid>
      <w:tr w:rsidR="001537BE" w:rsidRPr="004936BB" w14:paraId="2E7C4B23" w14:textId="77777777" w:rsidTr="00D95929">
        <w:trPr>
          <w:trHeight w:val="284"/>
        </w:trPr>
        <w:tc>
          <w:tcPr>
            <w:tcW w:w="960" w:type="dxa"/>
            <w:vMerge w:val="restart"/>
            <w:shd w:val="clear" w:color="auto" w:fill="1F497D"/>
            <w:noWrap/>
            <w:vAlign w:val="center"/>
            <w:hideMark/>
          </w:tcPr>
          <w:p w14:paraId="61C3A607" w14:textId="77777777" w:rsidR="001537BE" w:rsidRPr="004936BB" w:rsidRDefault="001537BE" w:rsidP="00915ADE">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ANNI</w:t>
            </w:r>
          </w:p>
        </w:tc>
        <w:tc>
          <w:tcPr>
            <w:tcW w:w="3009" w:type="dxa"/>
            <w:gridSpan w:val="3"/>
            <w:shd w:val="clear" w:color="auto" w:fill="808080" w:themeFill="background1" w:themeFillShade="80"/>
            <w:noWrap/>
            <w:vAlign w:val="center"/>
            <w:hideMark/>
          </w:tcPr>
          <w:p w14:paraId="29C55581" w14:textId="77777777" w:rsidR="001537BE" w:rsidRPr="004936BB" w:rsidRDefault="001537BE" w:rsidP="00915ADE">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Trasferimenti interni</w:t>
            </w:r>
          </w:p>
        </w:tc>
        <w:tc>
          <w:tcPr>
            <w:tcW w:w="2977" w:type="dxa"/>
            <w:gridSpan w:val="3"/>
            <w:shd w:val="clear" w:color="auto" w:fill="1F497D"/>
            <w:noWrap/>
            <w:vAlign w:val="center"/>
            <w:hideMark/>
          </w:tcPr>
          <w:p w14:paraId="126DEC1D" w14:textId="77777777" w:rsidR="001537BE" w:rsidRPr="004936BB" w:rsidRDefault="001537BE" w:rsidP="00915ADE">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Immigrazioni</w:t>
            </w:r>
          </w:p>
        </w:tc>
        <w:tc>
          <w:tcPr>
            <w:tcW w:w="2835" w:type="dxa"/>
            <w:gridSpan w:val="3"/>
            <w:shd w:val="clear" w:color="auto" w:fill="808080" w:themeFill="background1" w:themeFillShade="80"/>
            <w:noWrap/>
            <w:vAlign w:val="center"/>
            <w:hideMark/>
          </w:tcPr>
          <w:p w14:paraId="1E07DB7F" w14:textId="77777777" w:rsidR="001537BE" w:rsidRPr="004936BB" w:rsidRDefault="001537BE" w:rsidP="00915ADE">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Emigrazioni</w:t>
            </w:r>
          </w:p>
        </w:tc>
      </w:tr>
      <w:tr w:rsidR="001537BE" w:rsidRPr="004936BB" w14:paraId="28D6BC78" w14:textId="77777777" w:rsidTr="00D95929">
        <w:trPr>
          <w:trHeight w:val="284"/>
        </w:trPr>
        <w:tc>
          <w:tcPr>
            <w:tcW w:w="960" w:type="dxa"/>
            <w:vMerge/>
            <w:vAlign w:val="center"/>
            <w:hideMark/>
          </w:tcPr>
          <w:p w14:paraId="715B59CD" w14:textId="77777777" w:rsidR="001537BE" w:rsidRPr="004936BB" w:rsidRDefault="001537BE" w:rsidP="00915ADE">
            <w:pPr>
              <w:spacing w:before="40" w:after="20"/>
              <w:rPr>
                <w:rFonts w:ascii="Arial Narrow" w:hAnsi="Arial Narrow" w:cs="Arial"/>
                <w:b/>
                <w:bCs/>
                <w:color w:val="FFFFFF"/>
                <w:sz w:val="18"/>
                <w:szCs w:val="18"/>
              </w:rPr>
            </w:pPr>
          </w:p>
        </w:tc>
        <w:tc>
          <w:tcPr>
            <w:tcW w:w="978" w:type="dxa"/>
            <w:shd w:val="clear" w:color="auto" w:fill="1F497D"/>
            <w:noWrap/>
            <w:vAlign w:val="center"/>
            <w:hideMark/>
          </w:tcPr>
          <w:p w14:paraId="5890F060"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Italiani</w:t>
            </w:r>
          </w:p>
        </w:tc>
        <w:tc>
          <w:tcPr>
            <w:tcW w:w="1039" w:type="dxa"/>
            <w:shd w:val="clear" w:color="auto" w:fill="1F497D"/>
            <w:noWrap/>
            <w:vAlign w:val="center"/>
            <w:hideMark/>
          </w:tcPr>
          <w:p w14:paraId="4B628A16"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Stranieri</w:t>
            </w:r>
          </w:p>
        </w:tc>
        <w:tc>
          <w:tcPr>
            <w:tcW w:w="992" w:type="dxa"/>
            <w:shd w:val="clear" w:color="auto" w:fill="1F497D"/>
            <w:noWrap/>
            <w:vAlign w:val="center"/>
            <w:hideMark/>
          </w:tcPr>
          <w:p w14:paraId="1E584775"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Totale</w:t>
            </w:r>
          </w:p>
        </w:tc>
        <w:tc>
          <w:tcPr>
            <w:tcW w:w="1055" w:type="dxa"/>
            <w:shd w:val="clear" w:color="auto" w:fill="1F497D"/>
            <w:noWrap/>
            <w:vAlign w:val="center"/>
            <w:hideMark/>
          </w:tcPr>
          <w:p w14:paraId="3BBA28B3"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Italiani</w:t>
            </w:r>
          </w:p>
        </w:tc>
        <w:tc>
          <w:tcPr>
            <w:tcW w:w="1072" w:type="dxa"/>
            <w:shd w:val="clear" w:color="auto" w:fill="1F497D"/>
            <w:noWrap/>
            <w:vAlign w:val="center"/>
            <w:hideMark/>
          </w:tcPr>
          <w:p w14:paraId="6FB822A8"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Stranieri</w:t>
            </w:r>
          </w:p>
        </w:tc>
        <w:tc>
          <w:tcPr>
            <w:tcW w:w="850" w:type="dxa"/>
            <w:shd w:val="clear" w:color="auto" w:fill="1F497D"/>
            <w:noWrap/>
            <w:vAlign w:val="center"/>
            <w:hideMark/>
          </w:tcPr>
          <w:p w14:paraId="061679C0"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Totale</w:t>
            </w:r>
          </w:p>
        </w:tc>
        <w:tc>
          <w:tcPr>
            <w:tcW w:w="992" w:type="dxa"/>
            <w:shd w:val="clear" w:color="auto" w:fill="1F497D"/>
            <w:noWrap/>
            <w:vAlign w:val="center"/>
            <w:hideMark/>
          </w:tcPr>
          <w:p w14:paraId="274971D3"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Italiani</w:t>
            </w:r>
          </w:p>
        </w:tc>
        <w:tc>
          <w:tcPr>
            <w:tcW w:w="993" w:type="dxa"/>
            <w:shd w:val="clear" w:color="auto" w:fill="1F497D"/>
            <w:noWrap/>
            <w:vAlign w:val="center"/>
            <w:hideMark/>
          </w:tcPr>
          <w:p w14:paraId="47A07289"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Stranieri</w:t>
            </w:r>
          </w:p>
        </w:tc>
        <w:tc>
          <w:tcPr>
            <w:tcW w:w="850" w:type="dxa"/>
            <w:shd w:val="clear" w:color="auto" w:fill="1F497D"/>
            <w:noWrap/>
            <w:vAlign w:val="center"/>
            <w:hideMark/>
          </w:tcPr>
          <w:p w14:paraId="7156C529" w14:textId="77777777" w:rsidR="001537BE" w:rsidRPr="004936BB" w:rsidRDefault="001537BE" w:rsidP="000E0402">
            <w:pPr>
              <w:spacing w:before="40" w:after="20"/>
              <w:jc w:val="center"/>
              <w:rPr>
                <w:rFonts w:ascii="Arial Narrow" w:hAnsi="Arial Narrow" w:cs="Arial"/>
                <w:b/>
                <w:bCs/>
                <w:color w:val="FFFFFF"/>
                <w:sz w:val="18"/>
                <w:szCs w:val="18"/>
              </w:rPr>
            </w:pPr>
            <w:r w:rsidRPr="004936BB">
              <w:rPr>
                <w:rFonts w:ascii="Arial Narrow" w:hAnsi="Arial Narrow" w:cs="Arial"/>
                <w:b/>
                <w:bCs/>
                <w:color w:val="FFFFFF"/>
                <w:sz w:val="18"/>
                <w:szCs w:val="18"/>
              </w:rPr>
              <w:t>Totale</w:t>
            </w:r>
          </w:p>
        </w:tc>
      </w:tr>
      <w:tr w:rsidR="0026221F" w:rsidRPr="004936BB" w14:paraId="63259C31" w14:textId="77777777" w:rsidTr="00D95929">
        <w:trPr>
          <w:trHeight w:val="284"/>
        </w:trPr>
        <w:tc>
          <w:tcPr>
            <w:tcW w:w="960" w:type="dxa"/>
            <w:shd w:val="clear" w:color="auto" w:fill="auto"/>
            <w:noWrap/>
            <w:vAlign w:val="center"/>
            <w:hideMark/>
          </w:tcPr>
          <w:p w14:paraId="510903C3" w14:textId="1E3C77C3"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2014</w:t>
            </w:r>
          </w:p>
        </w:tc>
        <w:tc>
          <w:tcPr>
            <w:tcW w:w="978" w:type="dxa"/>
            <w:shd w:val="clear" w:color="000000" w:fill="D9D9D9"/>
            <w:noWrap/>
            <w:vAlign w:val="center"/>
            <w:hideMark/>
          </w:tcPr>
          <w:p w14:paraId="61E22435" w14:textId="5F59617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1.073.757</w:t>
            </w:r>
          </w:p>
        </w:tc>
        <w:tc>
          <w:tcPr>
            <w:tcW w:w="1039" w:type="dxa"/>
            <w:shd w:val="clear" w:color="auto" w:fill="auto"/>
            <w:noWrap/>
            <w:vAlign w:val="center"/>
            <w:hideMark/>
          </w:tcPr>
          <w:p w14:paraId="3B93F353" w14:textId="2245883D"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239.419</w:t>
            </w:r>
          </w:p>
        </w:tc>
        <w:tc>
          <w:tcPr>
            <w:tcW w:w="992" w:type="dxa"/>
            <w:shd w:val="clear" w:color="000000" w:fill="D9D9D9"/>
            <w:noWrap/>
            <w:vAlign w:val="center"/>
            <w:hideMark/>
          </w:tcPr>
          <w:p w14:paraId="35EA8A79" w14:textId="6B08DED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1.313.176</w:t>
            </w:r>
          </w:p>
        </w:tc>
        <w:tc>
          <w:tcPr>
            <w:tcW w:w="1055" w:type="dxa"/>
            <w:shd w:val="clear" w:color="auto" w:fill="auto"/>
            <w:noWrap/>
            <w:vAlign w:val="center"/>
            <w:hideMark/>
          </w:tcPr>
          <w:p w14:paraId="01CF1D33" w14:textId="4930795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29.271</w:t>
            </w:r>
          </w:p>
        </w:tc>
        <w:tc>
          <w:tcPr>
            <w:tcW w:w="1072" w:type="dxa"/>
            <w:shd w:val="clear" w:color="000000" w:fill="D9D9D9"/>
            <w:noWrap/>
            <w:vAlign w:val="center"/>
            <w:hideMark/>
          </w:tcPr>
          <w:p w14:paraId="019FEDD2" w14:textId="4A889C1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248.360</w:t>
            </w:r>
          </w:p>
        </w:tc>
        <w:tc>
          <w:tcPr>
            <w:tcW w:w="850" w:type="dxa"/>
            <w:shd w:val="clear" w:color="auto" w:fill="auto"/>
            <w:noWrap/>
            <w:vAlign w:val="center"/>
            <w:hideMark/>
          </w:tcPr>
          <w:p w14:paraId="6F733EEC" w14:textId="0442440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277.631</w:t>
            </w:r>
          </w:p>
        </w:tc>
        <w:tc>
          <w:tcPr>
            <w:tcW w:w="992" w:type="dxa"/>
            <w:shd w:val="clear" w:color="000000" w:fill="D9D9D9"/>
            <w:noWrap/>
            <w:vAlign w:val="center"/>
            <w:hideMark/>
          </w:tcPr>
          <w:p w14:paraId="3341C5F6" w14:textId="0EB004B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88.859</w:t>
            </w:r>
          </w:p>
        </w:tc>
        <w:tc>
          <w:tcPr>
            <w:tcW w:w="993" w:type="dxa"/>
            <w:shd w:val="clear" w:color="auto" w:fill="auto"/>
            <w:noWrap/>
            <w:vAlign w:val="center"/>
            <w:hideMark/>
          </w:tcPr>
          <w:p w14:paraId="7D543A1E" w14:textId="3C19C14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47.469</w:t>
            </w:r>
          </w:p>
        </w:tc>
        <w:tc>
          <w:tcPr>
            <w:tcW w:w="850" w:type="dxa"/>
            <w:shd w:val="clear" w:color="000000" w:fill="D9D9D9"/>
            <w:noWrap/>
            <w:vAlign w:val="center"/>
            <w:hideMark/>
          </w:tcPr>
          <w:p w14:paraId="2346833E" w14:textId="7803AD6C"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136.328</w:t>
            </w:r>
          </w:p>
        </w:tc>
      </w:tr>
      <w:tr w:rsidR="0026221F" w:rsidRPr="004936BB" w14:paraId="31C49A8D" w14:textId="77777777" w:rsidTr="00D95929">
        <w:trPr>
          <w:trHeight w:val="284"/>
        </w:trPr>
        <w:tc>
          <w:tcPr>
            <w:tcW w:w="960" w:type="dxa"/>
            <w:shd w:val="clear" w:color="auto" w:fill="auto"/>
            <w:noWrap/>
            <w:vAlign w:val="center"/>
            <w:hideMark/>
          </w:tcPr>
          <w:p w14:paraId="34E5E642" w14:textId="4EE2FBB5"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2015</w:t>
            </w:r>
          </w:p>
        </w:tc>
        <w:tc>
          <w:tcPr>
            <w:tcW w:w="978" w:type="dxa"/>
            <w:shd w:val="clear" w:color="000000" w:fill="D9D9D9"/>
            <w:noWrap/>
            <w:vAlign w:val="center"/>
            <w:hideMark/>
          </w:tcPr>
          <w:p w14:paraId="72BF3F60" w14:textId="33809A3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1.081.744</w:t>
            </w:r>
          </w:p>
        </w:tc>
        <w:tc>
          <w:tcPr>
            <w:tcW w:w="1039" w:type="dxa"/>
            <w:shd w:val="clear" w:color="auto" w:fill="auto"/>
            <w:noWrap/>
            <w:vAlign w:val="center"/>
            <w:hideMark/>
          </w:tcPr>
          <w:p w14:paraId="2DEF3811" w14:textId="65AC5311"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202.457</w:t>
            </w:r>
          </w:p>
        </w:tc>
        <w:tc>
          <w:tcPr>
            <w:tcW w:w="992" w:type="dxa"/>
            <w:shd w:val="clear" w:color="000000" w:fill="D9D9D9"/>
            <w:noWrap/>
            <w:vAlign w:val="center"/>
            <w:hideMark/>
          </w:tcPr>
          <w:p w14:paraId="4D46B71F" w14:textId="33D09EF4"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1.284.201</w:t>
            </w:r>
          </w:p>
        </w:tc>
        <w:tc>
          <w:tcPr>
            <w:tcW w:w="1055" w:type="dxa"/>
            <w:shd w:val="clear" w:color="auto" w:fill="auto"/>
            <w:noWrap/>
            <w:vAlign w:val="center"/>
            <w:hideMark/>
          </w:tcPr>
          <w:p w14:paraId="2CEBFD06" w14:textId="657AA4C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30.052</w:t>
            </w:r>
          </w:p>
        </w:tc>
        <w:tc>
          <w:tcPr>
            <w:tcW w:w="1072" w:type="dxa"/>
            <w:shd w:val="clear" w:color="000000" w:fill="D9D9D9"/>
            <w:noWrap/>
            <w:vAlign w:val="center"/>
            <w:hideMark/>
          </w:tcPr>
          <w:p w14:paraId="7456A412" w14:textId="747EE5F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250.026</w:t>
            </w:r>
          </w:p>
        </w:tc>
        <w:tc>
          <w:tcPr>
            <w:tcW w:w="850" w:type="dxa"/>
            <w:shd w:val="clear" w:color="auto" w:fill="auto"/>
            <w:noWrap/>
            <w:vAlign w:val="center"/>
            <w:hideMark/>
          </w:tcPr>
          <w:p w14:paraId="3AE13F06" w14:textId="6589FFB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280.078</w:t>
            </w:r>
          </w:p>
        </w:tc>
        <w:tc>
          <w:tcPr>
            <w:tcW w:w="992" w:type="dxa"/>
            <w:shd w:val="clear" w:color="000000" w:fill="D9D9D9"/>
            <w:noWrap/>
            <w:vAlign w:val="center"/>
            <w:hideMark/>
          </w:tcPr>
          <w:p w14:paraId="6E3BA603" w14:textId="6976EC8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102.259</w:t>
            </w:r>
          </w:p>
        </w:tc>
        <w:tc>
          <w:tcPr>
            <w:tcW w:w="993" w:type="dxa"/>
            <w:shd w:val="clear" w:color="auto" w:fill="auto"/>
            <w:noWrap/>
            <w:vAlign w:val="center"/>
            <w:hideMark/>
          </w:tcPr>
          <w:p w14:paraId="015CC352" w14:textId="1A87ACDD"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44.696</w:t>
            </w:r>
          </w:p>
        </w:tc>
        <w:tc>
          <w:tcPr>
            <w:tcW w:w="850" w:type="dxa"/>
            <w:shd w:val="clear" w:color="000000" w:fill="D9D9D9"/>
            <w:noWrap/>
            <w:vAlign w:val="center"/>
            <w:hideMark/>
          </w:tcPr>
          <w:p w14:paraId="5EBDC893" w14:textId="1A17C65C"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146.955</w:t>
            </w:r>
          </w:p>
        </w:tc>
      </w:tr>
      <w:tr w:rsidR="0026221F" w:rsidRPr="004936BB" w14:paraId="477F1F6E" w14:textId="77777777" w:rsidTr="00D95929">
        <w:trPr>
          <w:trHeight w:val="284"/>
        </w:trPr>
        <w:tc>
          <w:tcPr>
            <w:tcW w:w="960" w:type="dxa"/>
            <w:shd w:val="clear" w:color="auto" w:fill="auto"/>
            <w:noWrap/>
            <w:vAlign w:val="center"/>
            <w:hideMark/>
          </w:tcPr>
          <w:p w14:paraId="5E69EEC9" w14:textId="281433F3"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2016</w:t>
            </w:r>
          </w:p>
        </w:tc>
        <w:tc>
          <w:tcPr>
            <w:tcW w:w="978" w:type="dxa"/>
            <w:shd w:val="clear" w:color="000000" w:fill="D9D9D9"/>
            <w:noWrap/>
            <w:vAlign w:val="center"/>
            <w:hideMark/>
          </w:tcPr>
          <w:p w14:paraId="20FA6D83" w14:textId="38926697"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1.101.791</w:t>
            </w:r>
          </w:p>
        </w:tc>
        <w:tc>
          <w:tcPr>
            <w:tcW w:w="1039" w:type="dxa"/>
            <w:shd w:val="clear" w:color="auto" w:fill="auto"/>
            <w:noWrap/>
            <w:vAlign w:val="center"/>
            <w:hideMark/>
          </w:tcPr>
          <w:p w14:paraId="424801EC" w14:textId="5607DF18"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229.589</w:t>
            </w:r>
          </w:p>
        </w:tc>
        <w:tc>
          <w:tcPr>
            <w:tcW w:w="992" w:type="dxa"/>
            <w:shd w:val="clear" w:color="000000" w:fill="D9D9D9"/>
            <w:noWrap/>
            <w:vAlign w:val="center"/>
            <w:hideMark/>
          </w:tcPr>
          <w:p w14:paraId="5F7E9193" w14:textId="1DB0826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1.331.380</w:t>
            </w:r>
          </w:p>
        </w:tc>
        <w:tc>
          <w:tcPr>
            <w:tcW w:w="1055" w:type="dxa"/>
            <w:shd w:val="clear" w:color="auto" w:fill="auto"/>
            <w:noWrap/>
            <w:vAlign w:val="center"/>
            <w:hideMark/>
          </w:tcPr>
          <w:p w14:paraId="15A3A240" w14:textId="6FD5DC8D"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37.894</w:t>
            </w:r>
          </w:p>
        </w:tc>
        <w:tc>
          <w:tcPr>
            <w:tcW w:w="1072" w:type="dxa"/>
            <w:shd w:val="clear" w:color="000000" w:fill="D9D9D9"/>
            <w:noWrap/>
            <w:vAlign w:val="center"/>
            <w:hideMark/>
          </w:tcPr>
          <w:p w14:paraId="41942FAA" w14:textId="5D4625C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262.929</w:t>
            </w:r>
          </w:p>
        </w:tc>
        <w:tc>
          <w:tcPr>
            <w:tcW w:w="850" w:type="dxa"/>
            <w:shd w:val="clear" w:color="auto" w:fill="auto"/>
            <w:noWrap/>
            <w:vAlign w:val="center"/>
            <w:hideMark/>
          </w:tcPr>
          <w:p w14:paraId="6CF5725C" w14:textId="6DACC7F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300.823</w:t>
            </w:r>
          </w:p>
        </w:tc>
        <w:tc>
          <w:tcPr>
            <w:tcW w:w="992" w:type="dxa"/>
            <w:shd w:val="clear" w:color="000000" w:fill="D9D9D9"/>
            <w:noWrap/>
            <w:vAlign w:val="center"/>
            <w:hideMark/>
          </w:tcPr>
          <w:p w14:paraId="1F3118F4" w14:textId="155F9C7E"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114.512</w:t>
            </w:r>
          </w:p>
        </w:tc>
        <w:tc>
          <w:tcPr>
            <w:tcW w:w="993" w:type="dxa"/>
            <w:shd w:val="clear" w:color="auto" w:fill="auto"/>
            <w:noWrap/>
            <w:vAlign w:val="center"/>
            <w:hideMark/>
          </w:tcPr>
          <w:p w14:paraId="399700EA" w14:textId="6BDBF887"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42.553</w:t>
            </w:r>
          </w:p>
        </w:tc>
        <w:tc>
          <w:tcPr>
            <w:tcW w:w="850" w:type="dxa"/>
            <w:shd w:val="clear" w:color="000000" w:fill="D9D9D9"/>
            <w:noWrap/>
            <w:vAlign w:val="center"/>
            <w:hideMark/>
          </w:tcPr>
          <w:p w14:paraId="710AD44A" w14:textId="7E997905"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157.065</w:t>
            </w:r>
          </w:p>
        </w:tc>
      </w:tr>
      <w:tr w:rsidR="0026221F" w:rsidRPr="004936BB" w14:paraId="69A62E1F" w14:textId="77777777" w:rsidTr="00D95929">
        <w:trPr>
          <w:trHeight w:val="284"/>
        </w:trPr>
        <w:tc>
          <w:tcPr>
            <w:tcW w:w="960" w:type="dxa"/>
            <w:shd w:val="clear" w:color="auto" w:fill="auto"/>
            <w:noWrap/>
            <w:vAlign w:val="center"/>
            <w:hideMark/>
          </w:tcPr>
          <w:p w14:paraId="72E5A53C" w14:textId="7202F95C"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2017</w:t>
            </w:r>
          </w:p>
        </w:tc>
        <w:tc>
          <w:tcPr>
            <w:tcW w:w="978" w:type="dxa"/>
            <w:shd w:val="clear" w:color="000000" w:fill="D9D9D9"/>
            <w:noWrap/>
            <w:vAlign w:val="center"/>
            <w:hideMark/>
          </w:tcPr>
          <w:p w14:paraId="6F00ECAD" w14:textId="676819E8"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1.101.319</w:t>
            </w:r>
          </w:p>
        </w:tc>
        <w:tc>
          <w:tcPr>
            <w:tcW w:w="1039" w:type="dxa"/>
            <w:shd w:val="clear" w:color="auto" w:fill="auto"/>
            <w:noWrap/>
            <w:vAlign w:val="center"/>
            <w:hideMark/>
          </w:tcPr>
          <w:p w14:paraId="118488AF" w14:textId="422759B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233.203</w:t>
            </w:r>
          </w:p>
        </w:tc>
        <w:tc>
          <w:tcPr>
            <w:tcW w:w="992" w:type="dxa"/>
            <w:shd w:val="clear" w:color="000000" w:fill="D9D9D9"/>
            <w:noWrap/>
            <w:vAlign w:val="center"/>
            <w:hideMark/>
          </w:tcPr>
          <w:p w14:paraId="247C6157" w14:textId="62B3ABFA"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1.334.522</w:t>
            </w:r>
          </w:p>
        </w:tc>
        <w:tc>
          <w:tcPr>
            <w:tcW w:w="1055" w:type="dxa"/>
            <w:shd w:val="clear" w:color="auto" w:fill="auto"/>
            <w:noWrap/>
            <w:vAlign w:val="center"/>
            <w:hideMark/>
          </w:tcPr>
          <w:p w14:paraId="52AF102F" w14:textId="32F5BA8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42.369</w:t>
            </w:r>
          </w:p>
        </w:tc>
        <w:tc>
          <w:tcPr>
            <w:tcW w:w="1072" w:type="dxa"/>
            <w:shd w:val="clear" w:color="000000" w:fill="D9D9D9"/>
            <w:noWrap/>
            <w:vAlign w:val="center"/>
            <w:hideMark/>
          </w:tcPr>
          <w:p w14:paraId="210CC327" w14:textId="74D8926A"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301.071</w:t>
            </w:r>
          </w:p>
        </w:tc>
        <w:tc>
          <w:tcPr>
            <w:tcW w:w="850" w:type="dxa"/>
            <w:shd w:val="clear" w:color="auto" w:fill="auto"/>
            <w:noWrap/>
            <w:vAlign w:val="center"/>
            <w:hideMark/>
          </w:tcPr>
          <w:p w14:paraId="01A76E1D" w14:textId="4DAAD80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343.440</w:t>
            </w:r>
          </w:p>
        </w:tc>
        <w:tc>
          <w:tcPr>
            <w:tcW w:w="992" w:type="dxa"/>
            <w:shd w:val="clear" w:color="000000" w:fill="D9D9D9"/>
            <w:noWrap/>
            <w:vAlign w:val="center"/>
            <w:hideMark/>
          </w:tcPr>
          <w:p w14:paraId="0F37F1D4" w14:textId="1F276E8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114.559</w:t>
            </w:r>
          </w:p>
        </w:tc>
        <w:tc>
          <w:tcPr>
            <w:tcW w:w="993" w:type="dxa"/>
            <w:shd w:val="clear" w:color="auto" w:fill="auto"/>
            <w:noWrap/>
            <w:vAlign w:val="center"/>
            <w:hideMark/>
          </w:tcPr>
          <w:p w14:paraId="70451AB2" w14:textId="2EEA3BDC"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40.551</w:t>
            </w:r>
          </w:p>
        </w:tc>
        <w:tc>
          <w:tcPr>
            <w:tcW w:w="850" w:type="dxa"/>
            <w:shd w:val="clear" w:color="000000" w:fill="D9D9D9"/>
            <w:noWrap/>
            <w:vAlign w:val="center"/>
            <w:hideMark/>
          </w:tcPr>
          <w:p w14:paraId="261E0B59" w14:textId="10C7E4F4"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155.110</w:t>
            </w:r>
          </w:p>
        </w:tc>
      </w:tr>
      <w:tr w:rsidR="0026221F" w:rsidRPr="004936BB" w14:paraId="11332E5B" w14:textId="77777777" w:rsidTr="00D95929">
        <w:trPr>
          <w:trHeight w:val="284"/>
        </w:trPr>
        <w:tc>
          <w:tcPr>
            <w:tcW w:w="960" w:type="dxa"/>
            <w:shd w:val="clear" w:color="auto" w:fill="auto"/>
            <w:noWrap/>
            <w:vAlign w:val="center"/>
            <w:hideMark/>
          </w:tcPr>
          <w:p w14:paraId="27443E78" w14:textId="2A773000"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2018</w:t>
            </w:r>
          </w:p>
        </w:tc>
        <w:tc>
          <w:tcPr>
            <w:tcW w:w="978" w:type="dxa"/>
            <w:shd w:val="clear" w:color="000000" w:fill="D9D9D9"/>
            <w:noWrap/>
            <w:vAlign w:val="center"/>
            <w:hideMark/>
          </w:tcPr>
          <w:p w14:paraId="001D47F5" w14:textId="7AA5AAB5"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1.113.581</w:t>
            </w:r>
          </w:p>
        </w:tc>
        <w:tc>
          <w:tcPr>
            <w:tcW w:w="1039" w:type="dxa"/>
            <w:shd w:val="clear" w:color="auto" w:fill="auto"/>
            <w:noWrap/>
            <w:vAlign w:val="center"/>
            <w:hideMark/>
          </w:tcPr>
          <w:p w14:paraId="7E5E249E" w14:textId="5F0CF913"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244.851</w:t>
            </w:r>
          </w:p>
        </w:tc>
        <w:tc>
          <w:tcPr>
            <w:tcW w:w="992" w:type="dxa"/>
            <w:shd w:val="clear" w:color="000000" w:fill="D9D9D9"/>
            <w:noWrap/>
            <w:vAlign w:val="center"/>
            <w:hideMark/>
          </w:tcPr>
          <w:p w14:paraId="7CAFBE74" w14:textId="43FF2B2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1.358.432</w:t>
            </w:r>
          </w:p>
        </w:tc>
        <w:tc>
          <w:tcPr>
            <w:tcW w:w="1055" w:type="dxa"/>
            <w:shd w:val="clear" w:color="auto" w:fill="auto"/>
            <w:noWrap/>
            <w:vAlign w:val="center"/>
            <w:hideMark/>
          </w:tcPr>
          <w:p w14:paraId="7D2A5682" w14:textId="0A93850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46.824</w:t>
            </w:r>
          </w:p>
        </w:tc>
        <w:tc>
          <w:tcPr>
            <w:tcW w:w="1072" w:type="dxa"/>
            <w:shd w:val="clear" w:color="000000" w:fill="D9D9D9"/>
            <w:noWrap/>
            <w:vAlign w:val="center"/>
            <w:hideMark/>
          </w:tcPr>
          <w:p w14:paraId="5C45A87E" w14:textId="684C441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285.500</w:t>
            </w:r>
          </w:p>
        </w:tc>
        <w:tc>
          <w:tcPr>
            <w:tcW w:w="850" w:type="dxa"/>
            <w:shd w:val="clear" w:color="auto" w:fill="auto"/>
            <w:noWrap/>
            <w:vAlign w:val="center"/>
            <w:hideMark/>
          </w:tcPr>
          <w:p w14:paraId="775DDFEF" w14:textId="78C84DB1"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332.324</w:t>
            </w:r>
          </w:p>
        </w:tc>
        <w:tc>
          <w:tcPr>
            <w:tcW w:w="992" w:type="dxa"/>
            <w:shd w:val="clear" w:color="000000" w:fill="D9D9D9"/>
            <w:noWrap/>
            <w:vAlign w:val="center"/>
            <w:hideMark/>
          </w:tcPr>
          <w:p w14:paraId="6764BED2" w14:textId="7BBA54D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116.732</w:t>
            </w:r>
          </w:p>
        </w:tc>
        <w:tc>
          <w:tcPr>
            <w:tcW w:w="993" w:type="dxa"/>
            <w:shd w:val="clear" w:color="auto" w:fill="auto"/>
            <w:noWrap/>
            <w:vAlign w:val="center"/>
            <w:hideMark/>
          </w:tcPr>
          <w:p w14:paraId="1EF966D1" w14:textId="28FF8D58"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40.228</w:t>
            </w:r>
          </w:p>
        </w:tc>
        <w:tc>
          <w:tcPr>
            <w:tcW w:w="850" w:type="dxa"/>
            <w:shd w:val="clear" w:color="000000" w:fill="D9D9D9"/>
            <w:noWrap/>
            <w:vAlign w:val="center"/>
            <w:hideMark/>
          </w:tcPr>
          <w:p w14:paraId="60EA2250" w14:textId="5E43018D"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156.960</w:t>
            </w:r>
          </w:p>
        </w:tc>
      </w:tr>
      <w:tr w:rsidR="0026221F" w:rsidRPr="004936BB" w14:paraId="2E169F6A" w14:textId="77777777" w:rsidTr="00D95929">
        <w:trPr>
          <w:trHeight w:val="284"/>
        </w:trPr>
        <w:tc>
          <w:tcPr>
            <w:tcW w:w="960" w:type="dxa"/>
            <w:shd w:val="clear" w:color="auto" w:fill="auto"/>
            <w:noWrap/>
            <w:vAlign w:val="center"/>
            <w:hideMark/>
          </w:tcPr>
          <w:p w14:paraId="738623FC" w14:textId="3FE1B75B"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2019</w:t>
            </w:r>
          </w:p>
        </w:tc>
        <w:tc>
          <w:tcPr>
            <w:tcW w:w="978" w:type="dxa"/>
            <w:shd w:val="clear" w:color="000000" w:fill="D9D9D9"/>
            <w:noWrap/>
            <w:vAlign w:val="center"/>
            <w:hideMark/>
          </w:tcPr>
          <w:p w14:paraId="7C1F6CF6" w14:textId="39A66BEA"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1.201.080</w:t>
            </w:r>
          </w:p>
        </w:tc>
        <w:tc>
          <w:tcPr>
            <w:tcW w:w="1039" w:type="dxa"/>
            <w:shd w:val="clear" w:color="auto" w:fill="auto"/>
            <w:noWrap/>
            <w:vAlign w:val="center"/>
            <w:hideMark/>
          </w:tcPr>
          <w:p w14:paraId="5CA4014B" w14:textId="0CC9A937"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284.217</w:t>
            </w:r>
          </w:p>
        </w:tc>
        <w:tc>
          <w:tcPr>
            <w:tcW w:w="992" w:type="dxa"/>
            <w:shd w:val="clear" w:color="000000" w:fill="D9D9D9"/>
            <w:noWrap/>
            <w:vAlign w:val="center"/>
            <w:hideMark/>
          </w:tcPr>
          <w:p w14:paraId="1AD271B1" w14:textId="12C27F5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1.485.297</w:t>
            </w:r>
          </w:p>
        </w:tc>
        <w:tc>
          <w:tcPr>
            <w:tcW w:w="1055" w:type="dxa"/>
            <w:shd w:val="clear" w:color="auto" w:fill="auto"/>
            <w:noWrap/>
            <w:vAlign w:val="center"/>
            <w:hideMark/>
          </w:tcPr>
          <w:p w14:paraId="166045CE" w14:textId="66867AD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68.207</w:t>
            </w:r>
          </w:p>
        </w:tc>
        <w:tc>
          <w:tcPr>
            <w:tcW w:w="1072" w:type="dxa"/>
            <w:shd w:val="clear" w:color="000000" w:fill="D9D9D9"/>
            <w:noWrap/>
            <w:vAlign w:val="center"/>
            <w:hideMark/>
          </w:tcPr>
          <w:p w14:paraId="0662B3A6" w14:textId="564B195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264.571</w:t>
            </w:r>
          </w:p>
        </w:tc>
        <w:tc>
          <w:tcPr>
            <w:tcW w:w="850" w:type="dxa"/>
            <w:shd w:val="clear" w:color="auto" w:fill="auto"/>
            <w:noWrap/>
            <w:vAlign w:val="center"/>
            <w:hideMark/>
          </w:tcPr>
          <w:p w14:paraId="1392A98B" w14:textId="3ED8113D"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332.778</w:t>
            </w:r>
          </w:p>
        </w:tc>
        <w:tc>
          <w:tcPr>
            <w:tcW w:w="992" w:type="dxa"/>
            <w:shd w:val="clear" w:color="000000" w:fill="D9D9D9"/>
            <w:noWrap/>
            <w:vAlign w:val="center"/>
            <w:hideMark/>
          </w:tcPr>
          <w:p w14:paraId="7C7F02D9" w14:textId="42775F15"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122.020</w:t>
            </w:r>
          </w:p>
        </w:tc>
        <w:tc>
          <w:tcPr>
            <w:tcW w:w="993" w:type="dxa"/>
            <w:shd w:val="clear" w:color="auto" w:fill="auto"/>
            <w:noWrap/>
            <w:vAlign w:val="center"/>
            <w:hideMark/>
          </w:tcPr>
          <w:p w14:paraId="2F9D385E" w14:textId="03D2C52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57.485</w:t>
            </w:r>
          </w:p>
        </w:tc>
        <w:tc>
          <w:tcPr>
            <w:tcW w:w="850" w:type="dxa"/>
            <w:shd w:val="clear" w:color="000000" w:fill="D9D9D9"/>
            <w:noWrap/>
            <w:vAlign w:val="center"/>
            <w:hideMark/>
          </w:tcPr>
          <w:p w14:paraId="3D88399A" w14:textId="75F12B95"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179.505</w:t>
            </w:r>
          </w:p>
        </w:tc>
      </w:tr>
      <w:tr w:rsidR="0026221F" w:rsidRPr="004936BB" w14:paraId="55A1AA6F" w14:textId="77777777" w:rsidTr="00D95929">
        <w:trPr>
          <w:trHeight w:val="284"/>
        </w:trPr>
        <w:tc>
          <w:tcPr>
            <w:tcW w:w="960" w:type="dxa"/>
            <w:shd w:val="clear" w:color="auto" w:fill="auto"/>
            <w:noWrap/>
            <w:vAlign w:val="center"/>
            <w:hideMark/>
          </w:tcPr>
          <w:p w14:paraId="34EE7083" w14:textId="6FDD2881"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Arial"/>
                <w:color w:val="000000"/>
                <w:sz w:val="18"/>
                <w:szCs w:val="18"/>
              </w:rPr>
              <w:t>2020</w:t>
            </w:r>
          </w:p>
        </w:tc>
        <w:tc>
          <w:tcPr>
            <w:tcW w:w="978" w:type="dxa"/>
            <w:shd w:val="clear" w:color="000000" w:fill="D9D9D9"/>
            <w:noWrap/>
            <w:vAlign w:val="center"/>
            <w:hideMark/>
          </w:tcPr>
          <w:p w14:paraId="3A5F249C" w14:textId="34C1108C"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1.098.379</w:t>
            </w:r>
          </w:p>
        </w:tc>
        <w:tc>
          <w:tcPr>
            <w:tcW w:w="1039" w:type="dxa"/>
            <w:shd w:val="clear" w:color="auto" w:fill="auto"/>
            <w:noWrap/>
            <w:vAlign w:val="center"/>
            <w:hideMark/>
          </w:tcPr>
          <w:p w14:paraId="6F0C5866" w14:textId="609155B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235.301</w:t>
            </w:r>
          </w:p>
        </w:tc>
        <w:tc>
          <w:tcPr>
            <w:tcW w:w="992" w:type="dxa"/>
            <w:shd w:val="clear" w:color="000000" w:fill="D9D9D9"/>
            <w:noWrap/>
            <w:vAlign w:val="center"/>
            <w:hideMark/>
          </w:tcPr>
          <w:p w14:paraId="47A83831" w14:textId="0A775FA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1.333.680</w:t>
            </w:r>
          </w:p>
        </w:tc>
        <w:tc>
          <w:tcPr>
            <w:tcW w:w="1055" w:type="dxa"/>
            <w:shd w:val="clear" w:color="auto" w:fill="auto"/>
            <w:noWrap/>
            <w:vAlign w:val="center"/>
            <w:hideMark/>
          </w:tcPr>
          <w:p w14:paraId="1B808273" w14:textId="30E235C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55.760</w:t>
            </w:r>
          </w:p>
        </w:tc>
        <w:tc>
          <w:tcPr>
            <w:tcW w:w="1072" w:type="dxa"/>
            <w:shd w:val="clear" w:color="000000" w:fill="D9D9D9"/>
            <w:noWrap/>
            <w:vAlign w:val="center"/>
            <w:hideMark/>
          </w:tcPr>
          <w:p w14:paraId="2C1936AB" w14:textId="3293B93A"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191.766</w:t>
            </w:r>
          </w:p>
        </w:tc>
        <w:tc>
          <w:tcPr>
            <w:tcW w:w="850" w:type="dxa"/>
            <w:shd w:val="clear" w:color="auto" w:fill="auto"/>
            <w:noWrap/>
            <w:vAlign w:val="center"/>
            <w:hideMark/>
          </w:tcPr>
          <w:p w14:paraId="5E52FD22" w14:textId="720D13E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247.526</w:t>
            </w:r>
          </w:p>
        </w:tc>
        <w:tc>
          <w:tcPr>
            <w:tcW w:w="992" w:type="dxa"/>
            <w:shd w:val="clear" w:color="000000" w:fill="D9D9D9"/>
            <w:noWrap/>
            <w:vAlign w:val="center"/>
            <w:hideMark/>
          </w:tcPr>
          <w:p w14:paraId="30C5F857" w14:textId="186E951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120.950</w:t>
            </w:r>
          </w:p>
        </w:tc>
        <w:tc>
          <w:tcPr>
            <w:tcW w:w="993" w:type="dxa"/>
            <w:shd w:val="clear" w:color="auto" w:fill="auto"/>
            <w:noWrap/>
            <w:vAlign w:val="center"/>
            <w:hideMark/>
          </w:tcPr>
          <w:p w14:paraId="35D4E62A" w14:textId="3ADC053E"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38.934</w:t>
            </w:r>
          </w:p>
        </w:tc>
        <w:tc>
          <w:tcPr>
            <w:tcW w:w="850" w:type="dxa"/>
            <w:shd w:val="clear" w:color="000000" w:fill="D9D9D9"/>
            <w:noWrap/>
            <w:vAlign w:val="center"/>
            <w:hideMark/>
          </w:tcPr>
          <w:p w14:paraId="438EBAD1" w14:textId="19626B54"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Arial"/>
                <w:color w:val="000000"/>
                <w:sz w:val="18"/>
                <w:szCs w:val="18"/>
              </w:rPr>
              <w:t>159.884</w:t>
            </w:r>
          </w:p>
        </w:tc>
      </w:tr>
      <w:tr w:rsidR="0026221F" w:rsidRPr="004936BB" w14:paraId="381018D4" w14:textId="77777777" w:rsidTr="00D95929">
        <w:trPr>
          <w:trHeight w:val="284"/>
        </w:trPr>
        <w:tc>
          <w:tcPr>
            <w:tcW w:w="960" w:type="dxa"/>
            <w:shd w:val="clear" w:color="auto" w:fill="auto"/>
            <w:noWrap/>
            <w:vAlign w:val="center"/>
            <w:hideMark/>
          </w:tcPr>
          <w:p w14:paraId="36143B3E" w14:textId="201BAE58"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Calibri"/>
                <w:color w:val="000000"/>
                <w:sz w:val="18"/>
                <w:szCs w:val="18"/>
              </w:rPr>
              <w:t>2021</w:t>
            </w:r>
          </w:p>
        </w:tc>
        <w:tc>
          <w:tcPr>
            <w:tcW w:w="978" w:type="dxa"/>
            <w:shd w:val="clear" w:color="000000" w:fill="D9D9D9"/>
            <w:noWrap/>
            <w:vAlign w:val="center"/>
            <w:hideMark/>
          </w:tcPr>
          <w:p w14:paraId="413187F9" w14:textId="4617D1A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1.167.034</w:t>
            </w:r>
          </w:p>
        </w:tc>
        <w:tc>
          <w:tcPr>
            <w:tcW w:w="1039" w:type="dxa"/>
            <w:shd w:val="clear" w:color="auto" w:fill="auto"/>
            <w:noWrap/>
            <w:vAlign w:val="center"/>
            <w:hideMark/>
          </w:tcPr>
          <w:p w14:paraId="243A3C1E" w14:textId="39B78D5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256.167</w:t>
            </w:r>
          </w:p>
        </w:tc>
        <w:tc>
          <w:tcPr>
            <w:tcW w:w="992" w:type="dxa"/>
            <w:shd w:val="clear" w:color="000000" w:fill="D9D9D9"/>
            <w:noWrap/>
            <w:vAlign w:val="center"/>
            <w:hideMark/>
          </w:tcPr>
          <w:p w14:paraId="69210A83" w14:textId="49F0F4D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1.423.201</w:t>
            </w:r>
          </w:p>
        </w:tc>
        <w:tc>
          <w:tcPr>
            <w:tcW w:w="1055" w:type="dxa"/>
            <w:shd w:val="clear" w:color="auto" w:fill="auto"/>
            <w:noWrap/>
            <w:vAlign w:val="center"/>
            <w:hideMark/>
          </w:tcPr>
          <w:p w14:paraId="339D2599" w14:textId="418E0089"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74.759</w:t>
            </w:r>
          </w:p>
        </w:tc>
        <w:tc>
          <w:tcPr>
            <w:tcW w:w="1072" w:type="dxa"/>
            <w:shd w:val="clear" w:color="000000" w:fill="D9D9D9"/>
            <w:noWrap/>
            <w:vAlign w:val="center"/>
            <w:hideMark/>
          </w:tcPr>
          <w:p w14:paraId="2EB8288A" w14:textId="39566D4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243.607</w:t>
            </w:r>
          </w:p>
        </w:tc>
        <w:tc>
          <w:tcPr>
            <w:tcW w:w="850" w:type="dxa"/>
            <w:shd w:val="clear" w:color="auto" w:fill="auto"/>
            <w:noWrap/>
            <w:vAlign w:val="center"/>
            <w:hideMark/>
          </w:tcPr>
          <w:p w14:paraId="69F7F452" w14:textId="1162C6A3"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318.366</w:t>
            </w:r>
          </w:p>
        </w:tc>
        <w:tc>
          <w:tcPr>
            <w:tcW w:w="992" w:type="dxa"/>
            <w:shd w:val="clear" w:color="000000" w:fill="D9D9D9"/>
            <w:noWrap/>
            <w:vAlign w:val="center"/>
            <w:hideMark/>
          </w:tcPr>
          <w:p w14:paraId="6864E4D9" w14:textId="46D4B156"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94.219</w:t>
            </w:r>
          </w:p>
        </w:tc>
        <w:tc>
          <w:tcPr>
            <w:tcW w:w="993" w:type="dxa"/>
            <w:shd w:val="clear" w:color="auto" w:fill="auto"/>
            <w:noWrap/>
            <w:vAlign w:val="center"/>
            <w:hideMark/>
          </w:tcPr>
          <w:p w14:paraId="01AC4ABA" w14:textId="76E1A7C8"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64.093</w:t>
            </w:r>
          </w:p>
        </w:tc>
        <w:tc>
          <w:tcPr>
            <w:tcW w:w="850" w:type="dxa"/>
            <w:shd w:val="clear" w:color="000000" w:fill="D9D9D9"/>
            <w:noWrap/>
            <w:vAlign w:val="center"/>
            <w:hideMark/>
          </w:tcPr>
          <w:p w14:paraId="49BB78A4" w14:textId="632DBF6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158.312</w:t>
            </w:r>
          </w:p>
        </w:tc>
      </w:tr>
      <w:tr w:rsidR="0026221F" w:rsidRPr="004936BB" w14:paraId="42081E0F" w14:textId="77777777" w:rsidTr="00D95929">
        <w:trPr>
          <w:trHeight w:val="284"/>
        </w:trPr>
        <w:tc>
          <w:tcPr>
            <w:tcW w:w="960" w:type="dxa"/>
            <w:shd w:val="clear" w:color="auto" w:fill="auto"/>
            <w:noWrap/>
            <w:vAlign w:val="center"/>
          </w:tcPr>
          <w:p w14:paraId="5C95410D" w14:textId="256FDAD1" w:rsidR="0026221F" w:rsidRPr="004936BB" w:rsidRDefault="0026221F" w:rsidP="0026221F">
            <w:pPr>
              <w:spacing w:before="40" w:after="20"/>
              <w:jc w:val="center"/>
              <w:rPr>
                <w:rFonts w:ascii="Arial Narrow" w:hAnsi="Arial Narrow" w:cs="Arial"/>
                <w:sz w:val="18"/>
                <w:szCs w:val="18"/>
              </w:rPr>
            </w:pPr>
            <w:r w:rsidRPr="004936BB">
              <w:rPr>
                <w:rFonts w:ascii="Arial Narrow" w:hAnsi="Arial Narrow" w:cs="Calibri"/>
                <w:color w:val="000000"/>
                <w:sz w:val="18"/>
                <w:szCs w:val="18"/>
              </w:rPr>
              <w:t>2022</w:t>
            </w:r>
          </w:p>
        </w:tc>
        <w:tc>
          <w:tcPr>
            <w:tcW w:w="978" w:type="dxa"/>
            <w:shd w:val="clear" w:color="000000" w:fill="D9D9D9"/>
            <w:noWrap/>
            <w:vAlign w:val="center"/>
          </w:tcPr>
          <w:p w14:paraId="64ED66DD" w14:textId="25C98BFC"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1.227.381</w:t>
            </w:r>
          </w:p>
        </w:tc>
        <w:tc>
          <w:tcPr>
            <w:tcW w:w="1039" w:type="dxa"/>
            <w:shd w:val="clear" w:color="auto" w:fill="auto"/>
            <w:noWrap/>
            <w:vAlign w:val="center"/>
          </w:tcPr>
          <w:p w14:paraId="02900FA5" w14:textId="2612540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243.989</w:t>
            </w:r>
          </w:p>
        </w:tc>
        <w:tc>
          <w:tcPr>
            <w:tcW w:w="992" w:type="dxa"/>
            <w:shd w:val="clear" w:color="000000" w:fill="D9D9D9"/>
            <w:noWrap/>
            <w:vAlign w:val="center"/>
          </w:tcPr>
          <w:p w14:paraId="6BB4DADF" w14:textId="2BBC1C8F"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1.471.370</w:t>
            </w:r>
          </w:p>
        </w:tc>
        <w:tc>
          <w:tcPr>
            <w:tcW w:w="1055" w:type="dxa"/>
            <w:shd w:val="clear" w:color="auto" w:fill="auto"/>
            <w:noWrap/>
            <w:vAlign w:val="center"/>
          </w:tcPr>
          <w:p w14:paraId="143D841E" w14:textId="24C6C94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74.490</w:t>
            </w:r>
          </w:p>
        </w:tc>
        <w:tc>
          <w:tcPr>
            <w:tcW w:w="1072" w:type="dxa"/>
            <w:shd w:val="clear" w:color="000000" w:fill="D9D9D9"/>
            <w:noWrap/>
            <w:vAlign w:val="center"/>
          </w:tcPr>
          <w:p w14:paraId="17023B0F" w14:textId="5FB2AAD2"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336.495</w:t>
            </w:r>
          </w:p>
        </w:tc>
        <w:tc>
          <w:tcPr>
            <w:tcW w:w="850" w:type="dxa"/>
            <w:shd w:val="clear" w:color="auto" w:fill="auto"/>
            <w:noWrap/>
            <w:vAlign w:val="center"/>
          </w:tcPr>
          <w:p w14:paraId="4BA05EDA" w14:textId="70D5F400"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410.985</w:t>
            </w:r>
          </w:p>
        </w:tc>
        <w:tc>
          <w:tcPr>
            <w:tcW w:w="992" w:type="dxa"/>
            <w:shd w:val="clear" w:color="000000" w:fill="D9D9D9"/>
            <w:noWrap/>
            <w:vAlign w:val="center"/>
          </w:tcPr>
          <w:p w14:paraId="6263B812" w14:textId="73FA0723"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99.510</w:t>
            </w:r>
          </w:p>
        </w:tc>
        <w:tc>
          <w:tcPr>
            <w:tcW w:w="993" w:type="dxa"/>
            <w:shd w:val="clear" w:color="auto" w:fill="auto"/>
            <w:noWrap/>
            <w:vAlign w:val="center"/>
          </w:tcPr>
          <w:p w14:paraId="26997371" w14:textId="04B2F73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50.679</w:t>
            </w:r>
          </w:p>
        </w:tc>
        <w:tc>
          <w:tcPr>
            <w:tcW w:w="850" w:type="dxa"/>
            <w:shd w:val="clear" w:color="000000" w:fill="D9D9D9"/>
            <w:noWrap/>
            <w:vAlign w:val="center"/>
          </w:tcPr>
          <w:p w14:paraId="67EE74EA" w14:textId="3C2786CB" w:rsidR="0026221F" w:rsidRPr="004936BB" w:rsidRDefault="0026221F" w:rsidP="0026221F">
            <w:pPr>
              <w:spacing w:before="40" w:after="20"/>
              <w:jc w:val="right"/>
              <w:rPr>
                <w:rFonts w:ascii="Arial Narrow" w:hAnsi="Arial Narrow" w:cs="Arial"/>
                <w:sz w:val="18"/>
                <w:szCs w:val="18"/>
              </w:rPr>
            </w:pPr>
            <w:r w:rsidRPr="004936BB">
              <w:rPr>
                <w:rFonts w:ascii="Arial Narrow" w:hAnsi="Arial Narrow" w:cs="Calibri"/>
                <w:color w:val="000000"/>
                <w:sz w:val="18"/>
                <w:szCs w:val="18"/>
              </w:rPr>
              <w:t>150.189</w:t>
            </w:r>
          </w:p>
        </w:tc>
      </w:tr>
      <w:tr w:rsidR="00EA2B84" w:rsidRPr="004936BB" w14:paraId="7B0AC08A" w14:textId="77777777" w:rsidTr="00D95929">
        <w:trPr>
          <w:trHeight w:val="284"/>
        </w:trPr>
        <w:tc>
          <w:tcPr>
            <w:tcW w:w="960" w:type="dxa"/>
            <w:shd w:val="clear" w:color="auto" w:fill="auto"/>
            <w:noWrap/>
            <w:vAlign w:val="center"/>
          </w:tcPr>
          <w:p w14:paraId="4FDC1EFE" w14:textId="2145FE79" w:rsidR="00EA2B84" w:rsidRPr="004936BB" w:rsidRDefault="00EA2B84" w:rsidP="00EA2B84">
            <w:pPr>
              <w:spacing w:before="40" w:after="20"/>
              <w:jc w:val="center"/>
              <w:rPr>
                <w:rFonts w:ascii="Arial Narrow" w:hAnsi="Arial Narrow" w:cs="Calibri"/>
                <w:color w:val="000000"/>
                <w:sz w:val="18"/>
                <w:szCs w:val="18"/>
              </w:rPr>
            </w:pPr>
            <w:r w:rsidRPr="004936BB">
              <w:rPr>
                <w:rFonts w:ascii="Arial Narrow" w:hAnsi="Arial Narrow" w:cs="Calibri"/>
                <w:color w:val="000000"/>
                <w:sz w:val="18"/>
                <w:szCs w:val="18"/>
              </w:rPr>
              <w:t>2023</w:t>
            </w:r>
          </w:p>
        </w:tc>
        <w:tc>
          <w:tcPr>
            <w:tcW w:w="978" w:type="dxa"/>
            <w:shd w:val="clear" w:color="000000" w:fill="D9D9D9"/>
            <w:noWrap/>
            <w:vAlign w:val="center"/>
          </w:tcPr>
          <w:p w14:paraId="4A9DD103" w14:textId="15403789"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1.182.266</w:t>
            </w:r>
          </w:p>
        </w:tc>
        <w:tc>
          <w:tcPr>
            <w:tcW w:w="1039" w:type="dxa"/>
            <w:shd w:val="clear" w:color="auto" w:fill="auto"/>
            <w:noWrap/>
            <w:vAlign w:val="center"/>
          </w:tcPr>
          <w:p w14:paraId="236838A8" w14:textId="5B9F327F"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251.537</w:t>
            </w:r>
          </w:p>
        </w:tc>
        <w:tc>
          <w:tcPr>
            <w:tcW w:w="992" w:type="dxa"/>
            <w:shd w:val="clear" w:color="000000" w:fill="D9D9D9"/>
            <w:noWrap/>
            <w:vAlign w:val="center"/>
          </w:tcPr>
          <w:p w14:paraId="70525354" w14:textId="05612707"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1.433.803</w:t>
            </w:r>
          </w:p>
        </w:tc>
        <w:tc>
          <w:tcPr>
            <w:tcW w:w="1055" w:type="dxa"/>
            <w:shd w:val="clear" w:color="auto" w:fill="auto"/>
            <w:noWrap/>
            <w:vAlign w:val="center"/>
          </w:tcPr>
          <w:p w14:paraId="2153B69A" w14:textId="7B22F8CD"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61.286</w:t>
            </w:r>
          </w:p>
        </w:tc>
        <w:tc>
          <w:tcPr>
            <w:tcW w:w="1072" w:type="dxa"/>
            <w:shd w:val="clear" w:color="000000" w:fill="D9D9D9"/>
            <w:noWrap/>
            <w:vAlign w:val="center"/>
          </w:tcPr>
          <w:p w14:paraId="2390F9CE" w14:textId="07AFD8B2"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378.372</w:t>
            </w:r>
          </w:p>
        </w:tc>
        <w:tc>
          <w:tcPr>
            <w:tcW w:w="850" w:type="dxa"/>
            <w:shd w:val="clear" w:color="auto" w:fill="auto"/>
            <w:noWrap/>
            <w:vAlign w:val="center"/>
          </w:tcPr>
          <w:p w14:paraId="0BCC0EBC" w14:textId="0018E0D6"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439.658</w:t>
            </w:r>
          </w:p>
        </w:tc>
        <w:tc>
          <w:tcPr>
            <w:tcW w:w="992" w:type="dxa"/>
            <w:shd w:val="clear" w:color="000000" w:fill="D9D9D9"/>
            <w:noWrap/>
            <w:vAlign w:val="center"/>
          </w:tcPr>
          <w:p w14:paraId="2E5DECEF" w14:textId="55761FBF"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114.057</w:t>
            </w:r>
          </w:p>
        </w:tc>
        <w:tc>
          <w:tcPr>
            <w:tcW w:w="993" w:type="dxa"/>
            <w:shd w:val="clear" w:color="auto" w:fill="auto"/>
            <w:noWrap/>
            <w:vAlign w:val="center"/>
          </w:tcPr>
          <w:p w14:paraId="64574DDC" w14:textId="2FACD076"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44.381</w:t>
            </w:r>
          </w:p>
        </w:tc>
        <w:tc>
          <w:tcPr>
            <w:tcW w:w="850" w:type="dxa"/>
            <w:shd w:val="clear" w:color="000000" w:fill="D9D9D9"/>
            <w:noWrap/>
            <w:vAlign w:val="center"/>
          </w:tcPr>
          <w:p w14:paraId="0452E43E" w14:textId="13C5F977" w:rsidR="00EA2B84" w:rsidRPr="004936BB" w:rsidRDefault="00EA2B84" w:rsidP="00EA2B84">
            <w:pPr>
              <w:spacing w:before="40" w:after="20"/>
              <w:jc w:val="right"/>
              <w:rPr>
                <w:rFonts w:ascii="Arial Narrow" w:hAnsi="Arial Narrow" w:cs="Calibri"/>
                <w:color w:val="000000"/>
                <w:sz w:val="18"/>
                <w:szCs w:val="18"/>
              </w:rPr>
            </w:pPr>
            <w:r w:rsidRPr="004936BB">
              <w:rPr>
                <w:rFonts w:ascii="Arial Narrow" w:hAnsi="Arial Narrow" w:cs="Calibri"/>
                <w:color w:val="000000"/>
                <w:sz w:val="18"/>
                <w:szCs w:val="18"/>
              </w:rPr>
              <w:t>158.438</w:t>
            </w:r>
          </w:p>
        </w:tc>
      </w:tr>
      <w:tr w:rsidR="00EA2B84" w:rsidRPr="004936BB" w14:paraId="7A136DAD" w14:textId="77777777" w:rsidTr="00D95929">
        <w:trPr>
          <w:trHeight w:val="284"/>
        </w:trPr>
        <w:tc>
          <w:tcPr>
            <w:tcW w:w="960" w:type="dxa"/>
            <w:shd w:val="clear" w:color="000000" w:fill="1F497D"/>
            <w:noWrap/>
            <w:vAlign w:val="center"/>
            <w:hideMark/>
          </w:tcPr>
          <w:p w14:paraId="4C75F240" w14:textId="73F41794" w:rsidR="00EA2B84" w:rsidRPr="004936BB" w:rsidRDefault="00EA2B84" w:rsidP="00EA2B84">
            <w:pPr>
              <w:spacing w:before="40" w:after="20"/>
              <w:jc w:val="center"/>
              <w:rPr>
                <w:rFonts w:ascii="Arial Narrow" w:hAnsi="Arial Narrow" w:cs="Arial"/>
                <w:b/>
                <w:bCs/>
                <w:color w:val="FFFFFF"/>
                <w:sz w:val="18"/>
                <w:szCs w:val="18"/>
              </w:rPr>
            </w:pPr>
            <w:r w:rsidRPr="004936BB">
              <w:rPr>
                <w:rFonts w:ascii="Arial Narrow" w:hAnsi="Arial Narrow" w:cs="Calibri"/>
                <w:b/>
                <w:bCs/>
                <w:color w:val="FFFFFF"/>
                <w:sz w:val="18"/>
                <w:szCs w:val="18"/>
              </w:rPr>
              <w:t>2024</w:t>
            </w:r>
          </w:p>
        </w:tc>
        <w:tc>
          <w:tcPr>
            <w:tcW w:w="978" w:type="dxa"/>
            <w:shd w:val="clear" w:color="000000" w:fill="1F497D"/>
            <w:noWrap/>
            <w:vAlign w:val="center"/>
            <w:hideMark/>
          </w:tcPr>
          <w:p w14:paraId="63DB620E" w14:textId="16207CAD"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1.142.330</w:t>
            </w:r>
          </w:p>
        </w:tc>
        <w:tc>
          <w:tcPr>
            <w:tcW w:w="1039" w:type="dxa"/>
            <w:shd w:val="clear" w:color="000000" w:fill="1F497D"/>
            <w:noWrap/>
            <w:vAlign w:val="center"/>
            <w:hideMark/>
          </w:tcPr>
          <w:p w14:paraId="724DA6FF" w14:textId="11C3CB47"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271.163</w:t>
            </w:r>
          </w:p>
        </w:tc>
        <w:tc>
          <w:tcPr>
            <w:tcW w:w="992" w:type="dxa"/>
            <w:shd w:val="clear" w:color="000000" w:fill="1F497D"/>
            <w:noWrap/>
            <w:vAlign w:val="center"/>
            <w:hideMark/>
          </w:tcPr>
          <w:p w14:paraId="280C84C4" w14:textId="5F069BE0"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1.413.493</w:t>
            </w:r>
          </w:p>
        </w:tc>
        <w:tc>
          <w:tcPr>
            <w:tcW w:w="1055" w:type="dxa"/>
            <w:shd w:val="clear" w:color="000000" w:fill="1F497D"/>
            <w:noWrap/>
            <w:vAlign w:val="center"/>
            <w:hideMark/>
          </w:tcPr>
          <w:p w14:paraId="034E1E0F" w14:textId="003EE3FC"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52.508</w:t>
            </w:r>
          </w:p>
        </w:tc>
        <w:tc>
          <w:tcPr>
            <w:tcW w:w="1072" w:type="dxa"/>
            <w:shd w:val="clear" w:color="000000" w:fill="1F497D"/>
            <w:noWrap/>
            <w:vAlign w:val="center"/>
            <w:hideMark/>
          </w:tcPr>
          <w:p w14:paraId="66E3EA88" w14:textId="75913306"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382.071</w:t>
            </w:r>
          </w:p>
        </w:tc>
        <w:tc>
          <w:tcPr>
            <w:tcW w:w="850" w:type="dxa"/>
            <w:shd w:val="clear" w:color="000000" w:fill="1F497D"/>
            <w:noWrap/>
            <w:vAlign w:val="center"/>
            <w:hideMark/>
          </w:tcPr>
          <w:p w14:paraId="50A94F61" w14:textId="0BFF94D8"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434.579</w:t>
            </w:r>
          </w:p>
        </w:tc>
        <w:tc>
          <w:tcPr>
            <w:tcW w:w="992" w:type="dxa"/>
            <w:shd w:val="clear" w:color="000000" w:fill="1F497D"/>
            <w:noWrap/>
            <w:vAlign w:val="center"/>
            <w:hideMark/>
          </w:tcPr>
          <w:p w14:paraId="0A572345" w14:textId="31E8E364"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155.732</w:t>
            </w:r>
          </w:p>
        </w:tc>
        <w:tc>
          <w:tcPr>
            <w:tcW w:w="993" w:type="dxa"/>
            <w:shd w:val="clear" w:color="000000" w:fill="1F497D"/>
            <w:noWrap/>
            <w:vAlign w:val="center"/>
            <w:hideMark/>
          </w:tcPr>
          <w:p w14:paraId="4BF0B82D" w14:textId="103A7542"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35.235</w:t>
            </w:r>
          </w:p>
        </w:tc>
        <w:tc>
          <w:tcPr>
            <w:tcW w:w="850" w:type="dxa"/>
            <w:shd w:val="clear" w:color="000000" w:fill="1F497D"/>
            <w:noWrap/>
            <w:vAlign w:val="center"/>
            <w:hideMark/>
          </w:tcPr>
          <w:p w14:paraId="6CD67355" w14:textId="7C68DE4D" w:rsidR="00EA2B84" w:rsidRPr="004936BB" w:rsidRDefault="00EA2B84" w:rsidP="00EA2B84">
            <w:pPr>
              <w:spacing w:before="40" w:after="20"/>
              <w:jc w:val="right"/>
              <w:rPr>
                <w:rFonts w:ascii="Arial Narrow" w:hAnsi="Arial Narrow" w:cs="Arial"/>
                <w:b/>
                <w:bCs/>
                <w:color w:val="FFFFFF"/>
                <w:sz w:val="18"/>
                <w:szCs w:val="18"/>
              </w:rPr>
            </w:pPr>
            <w:r w:rsidRPr="004936BB">
              <w:rPr>
                <w:rFonts w:ascii="Arial Narrow" w:hAnsi="Arial Narrow" w:cs="Calibri"/>
                <w:b/>
                <w:bCs/>
                <w:color w:val="FFFFFF"/>
                <w:sz w:val="18"/>
                <w:szCs w:val="18"/>
              </w:rPr>
              <w:t>190.967</w:t>
            </w:r>
          </w:p>
        </w:tc>
      </w:tr>
    </w:tbl>
    <w:p w14:paraId="0629103C" w14:textId="4B9CBBBB" w:rsidR="00BE2064" w:rsidRPr="00D95929" w:rsidRDefault="00BE2064" w:rsidP="00D95929">
      <w:pPr>
        <w:jc w:val="both"/>
        <w:outlineLvl w:val="0"/>
        <w:rPr>
          <w:rFonts w:ascii="Arial" w:hAnsi="Arial" w:cs="Arial"/>
          <w:sz w:val="15"/>
          <w:szCs w:val="15"/>
        </w:rPr>
      </w:pPr>
      <w:r w:rsidRPr="00D95929">
        <w:rPr>
          <w:rFonts w:ascii="Arial" w:hAnsi="Arial" w:cs="Arial"/>
          <w:sz w:val="15"/>
          <w:szCs w:val="15"/>
        </w:rPr>
        <w:t xml:space="preserve">Fonte: Istat, </w:t>
      </w:r>
      <w:r w:rsidR="00D7021C" w:rsidRPr="00D95929">
        <w:rPr>
          <w:rFonts w:ascii="Arial" w:hAnsi="Arial" w:cs="Arial"/>
          <w:sz w:val="15"/>
          <w:szCs w:val="15"/>
        </w:rPr>
        <w:t>Rilevazione dei trasferimenti di residenza</w:t>
      </w:r>
      <w:r w:rsidRPr="00D95929">
        <w:rPr>
          <w:rFonts w:ascii="Arial" w:hAnsi="Arial" w:cs="Arial"/>
          <w:sz w:val="15"/>
          <w:szCs w:val="15"/>
        </w:rPr>
        <w:t xml:space="preserve"> (202</w:t>
      </w:r>
      <w:r w:rsidR="00EA2B84" w:rsidRPr="00D95929">
        <w:rPr>
          <w:rFonts w:ascii="Arial" w:hAnsi="Arial" w:cs="Arial"/>
          <w:sz w:val="15"/>
          <w:szCs w:val="15"/>
        </w:rPr>
        <w:t>4</w:t>
      </w:r>
      <w:r w:rsidRPr="00D95929">
        <w:rPr>
          <w:rFonts w:ascii="Arial" w:hAnsi="Arial" w:cs="Arial"/>
          <w:sz w:val="15"/>
          <w:szCs w:val="15"/>
        </w:rPr>
        <w:t>, dati provvisori).</w:t>
      </w:r>
    </w:p>
    <w:p w14:paraId="5981B7C1" w14:textId="77777777" w:rsidR="004936BB" w:rsidRPr="00D95929" w:rsidRDefault="004936BB" w:rsidP="003A5109">
      <w:pPr>
        <w:spacing w:after="120"/>
        <w:jc w:val="both"/>
        <w:outlineLvl w:val="0"/>
        <w:rPr>
          <w:rFonts w:ascii="Arial" w:hAnsi="Arial" w:cs="Arial"/>
          <w:iCs/>
          <w:color w:val="1F497D" w:themeColor="text2"/>
          <w:sz w:val="22"/>
          <w:szCs w:val="26"/>
        </w:rPr>
      </w:pPr>
    </w:p>
    <w:p w14:paraId="6C81F869" w14:textId="63589CBC" w:rsidR="003A5109" w:rsidRPr="00F159F9" w:rsidRDefault="00D04C45" w:rsidP="003A5109">
      <w:pPr>
        <w:spacing w:after="120"/>
        <w:jc w:val="both"/>
        <w:outlineLvl w:val="0"/>
        <w:rPr>
          <w:rFonts w:ascii="Arial" w:hAnsi="Arial" w:cs="Arial"/>
          <w:b/>
          <w:iCs/>
          <w:color w:val="1F497D" w:themeColor="text2"/>
          <w:sz w:val="26"/>
          <w:szCs w:val="26"/>
        </w:rPr>
      </w:pPr>
      <w:r>
        <w:rPr>
          <w:rFonts w:ascii="Arial" w:hAnsi="Arial" w:cs="Arial"/>
          <w:b/>
          <w:iCs/>
          <w:color w:val="1F497D" w:themeColor="text2"/>
          <w:sz w:val="26"/>
          <w:szCs w:val="26"/>
        </w:rPr>
        <w:t>Il Nord polo attrattivo per le altre aree del Paese</w:t>
      </w:r>
    </w:p>
    <w:p w14:paraId="23D74298" w14:textId="77777777" w:rsidR="002F5F3F" w:rsidRDefault="00DA3C90" w:rsidP="00DA3C90">
      <w:pPr>
        <w:spacing w:after="120"/>
        <w:jc w:val="both"/>
        <w:outlineLvl w:val="0"/>
        <w:rPr>
          <w:rFonts w:ascii="Arial" w:hAnsi="Arial" w:cs="Arial"/>
          <w:iCs/>
          <w:sz w:val="22"/>
          <w:szCs w:val="22"/>
        </w:rPr>
      </w:pPr>
      <w:r>
        <w:rPr>
          <w:rFonts w:ascii="Arial" w:hAnsi="Arial" w:cs="Arial"/>
          <w:iCs/>
          <w:sz w:val="22"/>
          <w:szCs w:val="22"/>
        </w:rPr>
        <w:t>Il Nord continua a essere l’area del Paese più attrattiva e dinamica in riferimento ai movimenti interni</w:t>
      </w:r>
      <w:r w:rsidR="00F377E8">
        <w:rPr>
          <w:rFonts w:ascii="Arial" w:hAnsi="Arial" w:cs="Arial"/>
          <w:iCs/>
          <w:sz w:val="22"/>
          <w:szCs w:val="22"/>
        </w:rPr>
        <w:t>, con un numero di arrivi dalle altre aree geografiche che supera quello delle partenze</w:t>
      </w:r>
      <w:r>
        <w:rPr>
          <w:rFonts w:ascii="Arial" w:hAnsi="Arial" w:cs="Arial"/>
          <w:iCs/>
          <w:sz w:val="22"/>
          <w:szCs w:val="22"/>
        </w:rPr>
        <w:t xml:space="preserve">. </w:t>
      </w:r>
    </w:p>
    <w:p w14:paraId="1D031CBD" w14:textId="07E34361" w:rsidR="00DA3C90" w:rsidRDefault="00DA3C90" w:rsidP="00DA3C90">
      <w:pPr>
        <w:spacing w:after="120"/>
        <w:jc w:val="both"/>
        <w:outlineLvl w:val="0"/>
        <w:rPr>
          <w:rFonts w:ascii="Arial" w:hAnsi="Arial" w:cs="Arial"/>
          <w:iCs/>
          <w:sz w:val="22"/>
          <w:szCs w:val="22"/>
        </w:rPr>
      </w:pPr>
      <w:r>
        <w:rPr>
          <w:rFonts w:ascii="Arial" w:hAnsi="Arial" w:cs="Arial"/>
          <w:iCs/>
          <w:sz w:val="22"/>
          <w:szCs w:val="22"/>
        </w:rPr>
        <w:t xml:space="preserve">Nel biennio 2023-24 il tasso migratorio interno medio annuo è pari a +2,0 per mille residenti </w:t>
      </w:r>
      <w:r w:rsidR="002F5F3F">
        <w:rPr>
          <w:rFonts w:ascii="Arial" w:hAnsi="Arial" w:cs="Arial"/>
          <w:iCs/>
          <w:sz w:val="22"/>
          <w:szCs w:val="22"/>
        </w:rPr>
        <w:br/>
      </w:r>
      <w:r>
        <w:rPr>
          <w:rFonts w:ascii="Arial" w:hAnsi="Arial" w:cs="Arial"/>
          <w:iCs/>
          <w:sz w:val="22"/>
          <w:szCs w:val="22"/>
        </w:rPr>
        <w:t xml:space="preserve">nel Nord-est e </w:t>
      </w:r>
      <w:r w:rsidR="00173B14">
        <w:rPr>
          <w:rFonts w:ascii="Arial" w:hAnsi="Arial" w:cs="Arial"/>
          <w:iCs/>
          <w:sz w:val="22"/>
          <w:szCs w:val="22"/>
        </w:rPr>
        <w:t xml:space="preserve">a </w:t>
      </w:r>
      <w:r>
        <w:rPr>
          <w:rFonts w:ascii="Arial" w:hAnsi="Arial" w:cs="Arial"/>
          <w:iCs/>
          <w:sz w:val="22"/>
          <w:szCs w:val="22"/>
        </w:rPr>
        <w:t>+1,8 per mille nel Nord-ovest. Il Centro, pur registrando un tasso positivo</w:t>
      </w:r>
      <w:r w:rsidR="00F377E8">
        <w:rPr>
          <w:rFonts w:ascii="Arial" w:hAnsi="Arial" w:cs="Arial"/>
          <w:iCs/>
          <w:sz w:val="22"/>
          <w:szCs w:val="22"/>
        </w:rPr>
        <w:t xml:space="preserve"> </w:t>
      </w:r>
      <w:r w:rsidR="002F5F3F">
        <w:rPr>
          <w:rFonts w:ascii="Arial" w:hAnsi="Arial" w:cs="Arial"/>
          <w:iCs/>
          <w:sz w:val="22"/>
          <w:szCs w:val="22"/>
        </w:rPr>
        <w:br/>
      </w:r>
      <w:r w:rsidR="00F377E8">
        <w:rPr>
          <w:rFonts w:ascii="Arial" w:hAnsi="Arial" w:cs="Arial"/>
          <w:iCs/>
          <w:sz w:val="22"/>
          <w:szCs w:val="22"/>
        </w:rPr>
        <w:t>(+0,5 per mille)</w:t>
      </w:r>
      <w:r>
        <w:rPr>
          <w:rFonts w:ascii="Arial" w:hAnsi="Arial" w:cs="Arial"/>
          <w:iCs/>
          <w:sz w:val="22"/>
          <w:szCs w:val="22"/>
        </w:rPr>
        <w:t xml:space="preserve">, risulta meno attrattivo </w:t>
      </w:r>
      <w:r w:rsidR="00F377E8">
        <w:rPr>
          <w:rFonts w:ascii="Arial" w:hAnsi="Arial" w:cs="Arial"/>
          <w:iCs/>
          <w:sz w:val="22"/>
          <w:szCs w:val="22"/>
        </w:rPr>
        <w:t>del Nord</w:t>
      </w:r>
      <w:r>
        <w:rPr>
          <w:rFonts w:ascii="Arial" w:hAnsi="Arial" w:cs="Arial"/>
          <w:iCs/>
          <w:sz w:val="22"/>
          <w:szCs w:val="22"/>
        </w:rPr>
        <w:t xml:space="preserve">. </w:t>
      </w:r>
      <w:r w:rsidR="00CA4347">
        <w:rPr>
          <w:rFonts w:ascii="Arial" w:hAnsi="Arial" w:cs="Arial"/>
          <w:iCs/>
          <w:sz w:val="22"/>
          <w:szCs w:val="22"/>
        </w:rPr>
        <w:t xml:space="preserve">A livello regionale, il tasso migratorio interno più elevato si registra in Emilia-Romagna (+2,9 per mille), a livello </w:t>
      </w:r>
      <w:r w:rsidR="00CA4347" w:rsidRPr="009756B3">
        <w:rPr>
          <w:rFonts w:ascii="Arial" w:hAnsi="Arial" w:cs="Arial"/>
          <w:iCs/>
          <w:sz w:val="22"/>
          <w:szCs w:val="22"/>
        </w:rPr>
        <w:t xml:space="preserve">provinciale </w:t>
      </w:r>
      <w:r w:rsidR="009756B3" w:rsidRPr="009756B3">
        <w:rPr>
          <w:rFonts w:ascii="Arial" w:hAnsi="Arial" w:cs="Arial"/>
          <w:iCs/>
          <w:sz w:val="22"/>
          <w:szCs w:val="22"/>
        </w:rPr>
        <w:t xml:space="preserve">a Pavia </w:t>
      </w:r>
      <w:r w:rsidR="00CA4347" w:rsidRPr="00F27A8E">
        <w:rPr>
          <w:rFonts w:ascii="Arial" w:hAnsi="Arial" w:cs="Arial"/>
          <w:iCs/>
          <w:sz w:val="22"/>
          <w:szCs w:val="22"/>
        </w:rPr>
        <w:t>(</w:t>
      </w:r>
      <w:r w:rsidR="00173B14">
        <w:rPr>
          <w:rFonts w:ascii="Arial" w:hAnsi="Arial" w:cs="Arial"/>
          <w:iCs/>
          <w:sz w:val="22"/>
          <w:szCs w:val="22"/>
        </w:rPr>
        <w:t>+</w:t>
      </w:r>
      <w:r w:rsidR="009756B3" w:rsidRPr="00F27A8E">
        <w:rPr>
          <w:rFonts w:ascii="Arial" w:hAnsi="Arial" w:cs="Arial"/>
          <w:iCs/>
          <w:sz w:val="22"/>
          <w:szCs w:val="22"/>
        </w:rPr>
        <w:t xml:space="preserve">10,9 </w:t>
      </w:r>
      <w:r w:rsidR="00CA4347" w:rsidRPr="00F27A8E">
        <w:rPr>
          <w:rFonts w:ascii="Arial" w:hAnsi="Arial" w:cs="Arial"/>
          <w:iCs/>
          <w:sz w:val="22"/>
          <w:szCs w:val="22"/>
        </w:rPr>
        <w:t>per mille</w:t>
      </w:r>
      <w:r w:rsidR="00CA4347" w:rsidRPr="009756B3">
        <w:rPr>
          <w:rFonts w:ascii="Arial" w:hAnsi="Arial" w:cs="Arial"/>
          <w:iCs/>
          <w:sz w:val="22"/>
          <w:szCs w:val="22"/>
        </w:rPr>
        <w:t>).</w:t>
      </w:r>
    </w:p>
    <w:p w14:paraId="1F5A33E5" w14:textId="7D5057D6" w:rsidR="00DA3C90" w:rsidRDefault="00DA3C90" w:rsidP="00DA3C90">
      <w:pPr>
        <w:spacing w:after="120"/>
        <w:jc w:val="both"/>
        <w:outlineLvl w:val="0"/>
        <w:rPr>
          <w:rFonts w:ascii="Arial" w:hAnsi="Arial" w:cs="Arial"/>
          <w:iCs/>
          <w:sz w:val="22"/>
          <w:szCs w:val="22"/>
        </w:rPr>
      </w:pPr>
      <w:r>
        <w:rPr>
          <w:rFonts w:ascii="Arial" w:hAnsi="Arial" w:cs="Arial"/>
          <w:iCs/>
          <w:sz w:val="22"/>
          <w:szCs w:val="22"/>
        </w:rPr>
        <w:t xml:space="preserve">Il Mezzogiorno continua a registrare una dinamica migratoria interna negativa, con partenze verso le altre aree </w:t>
      </w:r>
      <w:r w:rsidR="00F377E8">
        <w:rPr>
          <w:rFonts w:ascii="Arial" w:hAnsi="Arial" w:cs="Arial"/>
          <w:iCs/>
          <w:sz w:val="22"/>
          <w:szCs w:val="22"/>
        </w:rPr>
        <w:t xml:space="preserve">del Paese </w:t>
      </w:r>
      <w:r>
        <w:rPr>
          <w:rFonts w:ascii="Arial" w:hAnsi="Arial" w:cs="Arial"/>
          <w:iCs/>
          <w:sz w:val="22"/>
          <w:szCs w:val="22"/>
        </w:rPr>
        <w:t xml:space="preserve">non </w:t>
      </w:r>
      <w:r w:rsidR="00173B14">
        <w:rPr>
          <w:rFonts w:ascii="Arial" w:hAnsi="Arial" w:cs="Arial"/>
          <w:iCs/>
          <w:sz w:val="22"/>
          <w:szCs w:val="22"/>
        </w:rPr>
        <w:t>compensate</w:t>
      </w:r>
      <w:r>
        <w:rPr>
          <w:rFonts w:ascii="Arial" w:hAnsi="Arial" w:cs="Arial"/>
          <w:iCs/>
          <w:sz w:val="22"/>
          <w:szCs w:val="22"/>
        </w:rPr>
        <w:t xml:space="preserve"> da altrettanti arrivi. I tassi medi annui, nel biennio 2023-24, sono </w:t>
      </w:r>
      <w:r w:rsidR="00F377E8">
        <w:rPr>
          <w:rFonts w:ascii="Arial" w:hAnsi="Arial" w:cs="Arial"/>
          <w:iCs/>
          <w:sz w:val="22"/>
          <w:szCs w:val="22"/>
        </w:rPr>
        <w:t xml:space="preserve">negativi e </w:t>
      </w:r>
      <w:r>
        <w:rPr>
          <w:rFonts w:ascii="Arial" w:hAnsi="Arial" w:cs="Arial"/>
          <w:iCs/>
          <w:sz w:val="22"/>
          <w:szCs w:val="22"/>
        </w:rPr>
        <w:t>pari a -3,2 per mille nel Sud e -2,4 per mille nelle Isole. I tassi più bassi si registrano in Basilicata (-5,6 per mille) e in Calabria (-5,0 per mille)</w:t>
      </w:r>
      <w:r w:rsidR="00F377E8">
        <w:rPr>
          <w:rFonts w:ascii="Arial" w:hAnsi="Arial" w:cs="Arial"/>
          <w:iCs/>
          <w:sz w:val="22"/>
          <w:szCs w:val="22"/>
        </w:rPr>
        <w:t xml:space="preserve">, mentre a livello provinciale il tasso più basso si rileva a </w:t>
      </w:r>
      <w:r w:rsidR="009756B3">
        <w:rPr>
          <w:rFonts w:ascii="Arial" w:hAnsi="Arial" w:cs="Arial"/>
          <w:iCs/>
          <w:sz w:val="22"/>
          <w:szCs w:val="22"/>
        </w:rPr>
        <w:t>Vibo Valentia (-12,</w:t>
      </w:r>
      <w:r w:rsidR="00757170">
        <w:rPr>
          <w:rFonts w:ascii="Arial" w:hAnsi="Arial" w:cs="Arial"/>
          <w:iCs/>
          <w:sz w:val="22"/>
          <w:szCs w:val="22"/>
        </w:rPr>
        <w:t xml:space="preserve">7 </w:t>
      </w:r>
      <w:r w:rsidR="009756B3">
        <w:rPr>
          <w:rFonts w:ascii="Arial" w:hAnsi="Arial" w:cs="Arial"/>
          <w:iCs/>
          <w:sz w:val="22"/>
          <w:szCs w:val="22"/>
        </w:rPr>
        <w:t>per mille)</w:t>
      </w:r>
      <w:r w:rsidRPr="00E267BB">
        <w:rPr>
          <w:rFonts w:ascii="Arial" w:hAnsi="Arial" w:cs="Arial"/>
          <w:iCs/>
          <w:sz w:val="22"/>
          <w:szCs w:val="22"/>
        </w:rPr>
        <w:t>.</w:t>
      </w:r>
      <w:r>
        <w:rPr>
          <w:rFonts w:ascii="Arial" w:hAnsi="Arial" w:cs="Arial"/>
          <w:iCs/>
          <w:sz w:val="22"/>
          <w:szCs w:val="22"/>
        </w:rPr>
        <w:t xml:space="preserve"> </w:t>
      </w:r>
    </w:p>
    <w:p w14:paraId="2F509F22" w14:textId="598ABE19" w:rsidR="00533468" w:rsidRDefault="00533468" w:rsidP="00533468">
      <w:pPr>
        <w:spacing w:after="120"/>
        <w:jc w:val="both"/>
        <w:outlineLvl w:val="0"/>
        <w:rPr>
          <w:rFonts w:ascii="Arial" w:hAnsi="Arial" w:cs="Arial"/>
          <w:iCs/>
          <w:sz w:val="22"/>
          <w:szCs w:val="22"/>
        </w:rPr>
      </w:pPr>
      <w:r>
        <w:rPr>
          <w:rFonts w:ascii="Arial" w:hAnsi="Arial" w:cs="Arial"/>
          <w:iCs/>
          <w:sz w:val="22"/>
          <w:szCs w:val="22"/>
        </w:rPr>
        <w:t>Nel biennio 2023-24,</w:t>
      </w:r>
      <w:r w:rsidR="00F377E8">
        <w:rPr>
          <w:rFonts w:ascii="Arial" w:hAnsi="Arial" w:cs="Arial"/>
          <w:iCs/>
          <w:sz w:val="22"/>
          <w:szCs w:val="22"/>
        </w:rPr>
        <w:t xml:space="preserve"> in linea con quanto osservato negli anni precedenti,</w:t>
      </w:r>
      <w:r>
        <w:rPr>
          <w:rFonts w:ascii="Arial" w:hAnsi="Arial" w:cs="Arial"/>
          <w:iCs/>
          <w:sz w:val="22"/>
          <w:szCs w:val="22"/>
        </w:rPr>
        <w:t xml:space="preserve"> quasi il 60% dei movimenti interni sono avvenuti tra </w:t>
      </w:r>
      <w:r w:rsidR="00995BC1">
        <w:rPr>
          <w:rFonts w:ascii="Arial" w:hAnsi="Arial" w:cs="Arial"/>
          <w:iCs/>
          <w:sz w:val="22"/>
          <w:szCs w:val="22"/>
        </w:rPr>
        <w:t>C</w:t>
      </w:r>
      <w:r>
        <w:rPr>
          <w:rFonts w:ascii="Arial" w:hAnsi="Arial" w:cs="Arial"/>
          <w:iCs/>
          <w:sz w:val="22"/>
          <w:szCs w:val="22"/>
        </w:rPr>
        <w:t>omuni appartenenti alla stessa provincia</w:t>
      </w:r>
      <w:r w:rsidR="00F377E8">
        <w:rPr>
          <w:rFonts w:ascii="Arial" w:hAnsi="Arial" w:cs="Arial"/>
          <w:iCs/>
          <w:sz w:val="22"/>
          <w:szCs w:val="22"/>
        </w:rPr>
        <w:t>,</w:t>
      </w:r>
      <w:r>
        <w:rPr>
          <w:rFonts w:ascii="Arial" w:hAnsi="Arial" w:cs="Arial"/>
          <w:iCs/>
          <w:sz w:val="22"/>
          <w:szCs w:val="22"/>
        </w:rPr>
        <w:t xml:space="preserve"> </w:t>
      </w:r>
      <w:r w:rsidR="00F377E8">
        <w:rPr>
          <w:rFonts w:ascii="Arial" w:hAnsi="Arial" w:cs="Arial"/>
          <w:iCs/>
          <w:sz w:val="22"/>
          <w:szCs w:val="22"/>
        </w:rPr>
        <w:t>o</w:t>
      </w:r>
      <w:r>
        <w:rPr>
          <w:rFonts w:ascii="Arial" w:hAnsi="Arial" w:cs="Arial"/>
          <w:iCs/>
          <w:sz w:val="22"/>
          <w:szCs w:val="22"/>
        </w:rPr>
        <w:t xml:space="preserve">ltre il 15% </w:t>
      </w:r>
      <w:r w:rsidR="00C37E12">
        <w:rPr>
          <w:rFonts w:ascii="Arial" w:hAnsi="Arial" w:cs="Arial"/>
          <w:iCs/>
          <w:sz w:val="22"/>
          <w:szCs w:val="22"/>
        </w:rPr>
        <w:t>tra province diverse ma all’interno della stessa regione</w:t>
      </w:r>
      <w:r w:rsidR="00F377E8">
        <w:rPr>
          <w:rFonts w:ascii="Arial" w:hAnsi="Arial" w:cs="Arial"/>
          <w:iCs/>
          <w:sz w:val="22"/>
          <w:szCs w:val="22"/>
        </w:rPr>
        <w:t>,</w:t>
      </w:r>
      <w:r w:rsidR="00C37E12">
        <w:rPr>
          <w:rFonts w:ascii="Arial" w:hAnsi="Arial" w:cs="Arial"/>
          <w:iCs/>
          <w:sz w:val="22"/>
          <w:szCs w:val="22"/>
        </w:rPr>
        <w:t xml:space="preserve"> </w:t>
      </w:r>
      <w:r>
        <w:rPr>
          <w:rFonts w:ascii="Arial" w:hAnsi="Arial" w:cs="Arial"/>
          <w:iCs/>
          <w:sz w:val="22"/>
          <w:szCs w:val="22"/>
        </w:rPr>
        <w:t xml:space="preserve">circa il 25% </w:t>
      </w:r>
      <w:r w:rsidR="00C37E12">
        <w:rPr>
          <w:rFonts w:ascii="Arial" w:hAnsi="Arial" w:cs="Arial"/>
          <w:iCs/>
          <w:sz w:val="22"/>
          <w:szCs w:val="22"/>
        </w:rPr>
        <w:t>dei movimenti sono stati invece interregionali</w:t>
      </w:r>
      <w:r>
        <w:rPr>
          <w:rFonts w:ascii="Arial" w:hAnsi="Arial" w:cs="Arial"/>
          <w:iCs/>
          <w:sz w:val="22"/>
          <w:szCs w:val="22"/>
        </w:rPr>
        <w:t>. Tra questi, riman</w:t>
      </w:r>
      <w:r w:rsidR="00173B14">
        <w:rPr>
          <w:rFonts w:ascii="Arial" w:hAnsi="Arial" w:cs="Arial"/>
          <w:iCs/>
          <w:sz w:val="22"/>
          <w:szCs w:val="22"/>
        </w:rPr>
        <w:t>gono</w:t>
      </w:r>
      <w:r>
        <w:rPr>
          <w:rFonts w:ascii="Arial" w:hAnsi="Arial" w:cs="Arial"/>
          <w:iCs/>
          <w:sz w:val="22"/>
          <w:szCs w:val="22"/>
        </w:rPr>
        <w:t xml:space="preserve"> stabil</w:t>
      </w:r>
      <w:r w:rsidR="00173B14">
        <w:rPr>
          <w:rFonts w:ascii="Arial" w:hAnsi="Arial" w:cs="Arial"/>
          <w:iCs/>
          <w:sz w:val="22"/>
          <w:szCs w:val="22"/>
        </w:rPr>
        <w:t>i</w:t>
      </w:r>
      <w:r>
        <w:rPr>
          <w:rFonts w:ascii="Arial" w:hAnsi="Arial" w:cs="Arial"/>
          <w:iCs/>
          <w:sz w:val="22"/>
          <w:szCs w:val="22"/>
        </w:rPr>
        <w:t xml:space="preserve"> </w:t>
      </w:r>
      <w:r w:rsidR="00C37E12">
        <w:rPr>
          <w:rFonts w:ascii="Arial" w:hAnsi="Arial" w:cs="Arial"/>
          <w:iCs/>
          <w:sz w:val="22"/>
          <w:szCs w:val="22"/>
        </w:rPr>
        <w:t xml:space="preserve">i movimenti che dal Mezzogiorno si dirigono verso il </w:t>
      </w:r>
      <w:r w:rsidR="00A553A0">
        <w:rPr>
          <w:rFonts w:ascii="Arial" w:hAnsi="Arial" w:cs="Arial"/>
          <w:iCs/>
          <w:sz w:val="22"/>
          <w:szCs w:val="22"/>
        </w:rPr>
        <w:t>Centro-Nord</w:t>
      </w:r>
      <w:r w:rsidR="00C37E12" w:rsidRPr="004B0B75">
        <w:rPr>
          <w:rFonts w:ascii="Arial" w:hAnsi="Arial" w:cs="Arial"/>
          <w:iCs/>
          <w:sz w:val="22"/>
          <w:szCs w:val="22"/>
        </w:rPr>
        <w:t xml:space="preserve"> (oltre un terzo).</w:t>
      </w:r>
      <w:r w:rsidR="00C37E12">
        <w:rPr>
          <w:rFonts w:ascii="Arial" w:hAnsi="Arial" w:cs="Arial"/>
          <w:iCs/>
          <w:sz w:val="22"/>
          <w:szCs w:val="22"/>
        </w:rPr>
        <w:t xml:space="preserve"> </w:t>
      </w:r>
    </w:p>
    <w:p w14:paraId="01AE1C19" w14:textId="39B74F5F" w:rsidR="008F5078" w:rsidRDefault="00C37E12" w:rsidP="000E5BEC">
      <w:pPr>
        <w:spacing w:after="120"/>
        <w:jc w:val="both"/>
        <w:outlineLvl w:val="0"/>
        <w:rPr>
          <w:rFonts w:ascii="Arial" w:hAnsi="Arial" w:cs="Arial"/>
          <w:iCs/>
          <w:sz w:val="22"/>
          <w:szCs w:val="22"/>
        </w:rPr>
      </w:pPr>
      <w:r>
        <w:rPr>
          <w:rFonts w:ascii="Arial" w:hAnsi="Arial" w:cs="Arial"/>
          <w:iCs/>
          <w:sz w:val="22"/>
          <w:szCs w:val="22"/>
        </w:rPr>
        <w:t xml:space="preserve">In particolare, </w:t>
      </w:r>
      <w:r w:rsidR="003B5E4C">
        <w:rPr>
          <w:rFonts w:ascii="Arial" w:hAnsi="Arial" w:cs="Arial"/>
          <w:iCs/>
          <w:sz w:val="22"/>
          <w:szCs w:val="22"/>
        </w:rPr>
        <w:t xml:space="preserve">i </w:t>
      </w:r>
      <w:r w:rsidR="002F13BC">
        <w:rPr>
          <w:rFonts w:ascii="Arial" w:hAnsi="Arial" w:cs="Arial"/>
          <w:iCs/>
          <w:sz w:val="22"/>
          <w:szCs w:val="22"/>
        </w:rPr>
        <w:t>movimenti interni</w:t>
      </w:r>
      <w:r w:rsidR="003B5E4C">
        <w:rPr>
          <w:rFonts w:ascii="Arial" w:hAnsi="Arial" w:cs="Arial"/>
          <w:iCs/>
          <w:sz w:val="22"/>
          <w:szCs w:val="22"/>
        </w:rPr>
        <w:t xml:space="preserve"> dal Mezzogiorno al </w:t>
      </w:r>
      <w:r w:rsidR="00A553A0">
        <w:rPr>
          <w:rFonts w:ascii="Arial" w:hAnsi="Arial" w:cs="Arial"/>
          <w:iCs/>
          <w:sz w:val="22"/>
          <w:szCs w:val="22"/>
        </w:rPr>
        <w:t>Centro-Nord</w:t>
      </w:r>
      <w:r w:rsidR="003B5E4C">
        <w:rPr>
          <w:rFonts w:ascii="Arial" w:hAnsi="Arial" w:cs="Arial"/>
          <w:iCs/>
          <w:sz w:val="22"/>
          <w:szCs w:val="22"/>
        </w:rPr>
        <w:t xml:space="preserve"> sono stati </w:t>
      </w:r>
      <w:r w:rsidR="009756B3">
        <w:rPr>
          <w:rFonts w:ascii="Arial" w:hAnsi="Arial" w:cs="Arial"/>
          <w:iCs/>
          <w:sz w:val="22"/>
          <w:szCs w:val="22"/>
        </w:rPr>
        <w:t xml:space="preserve">nel complesso </w:t>
      </w:r>
      <w:r w:rsidR="00FC21FD">
        <w:rPr>
          <w:rFonts w:ascii="Arial" w:hAnsi="Arial" w:cs="Arial"/>
          <w:iCs/>
          <w:sz w:val="22"/>
          <w:szCs w:val="22"/>
        </w:rPr>
        <w:t xml:space="preserve">241mila </w:t>
      </w:r>
      <w:r w:rsidR="003865D0">
        <w:rPr>
          <w:rFonts w:ascii="Arial" w:hAnsi="Arial" w:cs="Arial"/>
          <w:iCs/>
          <w:sz w:val="22"/>
          <w:szCs w:val="22"/>
        </w:rPr>
        <w:t xml:space="preserve">nel biennio </w:t>
      </w:r>
      <w:r w:rsidR="00CA4347">
        <w:rPr>
          <w:rFonts w:ascii="Arial" w:hAnsi="Arial" w:cs="Arial"/>
          <w:iCs/>
          <w:sz w:val="22"/>
          <w:szCs w:val="22"/>
        </w:rPr>
        <w:t>considerato</w:t>
      </w:r>
      <w:r w:rsidR="003865D0">
        <w:rPr>
          <w:rFonts w:ascii="Arial" w:hAnsi="Arial" w:cs="Arial"/>
          <w:iCs/>
          <w:sz w:val="22"/>
          <w:szCs w:val="22"/>
        </w:rPr>
        <w:t xml:space="preserve"> </w:t>
      </w:r>
      <w:r w:rsidR="00FC21FD">
        <w:rPr>
          <w:rFonts w:ascii="Arial" w:hAnsi="Arial" w:cs="Arial"/>
          <w:iCs/>
          <w:sz w:val="22"/>
          <w:szCs w:val="22"/>
        </w:rPr>
        <w:t>(121mila in media annua)</w:t>
      </w:r>
      <w:r>
        <w:rPr>
          <w:rFonts w:ascii="Arial" w:hAnsi="Arial" w:cs="Arial"/>
          <w:iCs/>
          <w:sz w:val="22"/>
          <w:szCs w:val="22"/>
        </w:rPr>
        <w:t>, mentre</w:t>
      </w:r>
      <w:r w:rsidR="00FC21FD">
        <w:rPr>
          <w:rFonts w:ascii="Arial" w:hAnsi="Arial" w:cs="Arial"/>
          <w:iCs/>
          <w:sz w:val="22"/>
          <w:szCs w:val="22"/>
        </w:rPr>
        <w:t xml:space="preserve"> </w:t>
      </w:r>
      <w:r>
        <w:rPr>
          <w:rFonts w:ascii="Arial" w:hAnsi="Arial" w:cs="Arial"/>
          <w:iCs/>
          <w:sz w:val="22"/>
          <w:szCs w:val="22"/>
        </w:rPr>
        <w:t>i</w:t>
      </w:r>
      <w:r w:rsidR="00FC21FD">
        <w:rPr>
          <w:rFonts w:ascii="Arial" w:hAnsi="Arial" w:cs="Arial"/>
          <w:iCs/>
          <w:sz w:val="22"/>
          <w:szCs w:val="22"/>
        </w:rPr>
        <w:t xml:space="preserve"> </w:t>
      </w:r>
      <w:r w:rsidR="002F13BC">
        <w:rPr>
          <w:rFonts w:ascii="Arial" w:hAnsi="Arial" w:cs="Arial"/>
          <w:iCs/>
          <w:sz w:val="22"/>
          <w:szCs w:val="22"/>
        </w:rPr>
        <w:t>trasferimenti</w:t>
      </w:r>
      <w:r w:rsidR="00FC21FD">
        <w:rPr>
          <w:rFonts w:ascii="Arial" w:hAnsi="Arial" w:cs="Arial"/>
          <w:iCs/>
          <w:sz w:val="22"/>
          <w:szCs w:val="22"/>
        </w:rPr>
        <w:t xml:space="preserve"> di residenza che hanno riguardato la traiettoria opposta sono stati </w:t>
      </w:r>
      <w:r w:rsidR="002F13BC">
        <w:rPr>
          <w:rFonts w:ascii="Arial" w:hAnsi="Arial" w:cs="Arial"/>
          <w:iCs/>
          <w:sz w:val="22"/>
          <w:szCs w:val="22"/>
        </w:rPr>
        <w:t xml:space="preserve">invece </w:t>
      </w:r>
      <w:r w:rsidR="00FC21FD">
        <w:rPr>
          <w:rFonts w:ascii="Arial" w:hAnsi="Arial" w:cs="Arial"/>
          <w:iCs/>
          <w:sz w:val="22"/>
          <w:szCs w:val="22"/>
        </w:rPr>
        <w:t>pari a 125mil</w:t>
      </w:r>
      <w:r w:rsidR="002F13BC">
        <w:rPr>
          <w:rFonts w:ascii="Arial" w:hAnsi="Arial" w:cs="Arial"/>
          <w:iCs/>
          <w:sz w:val="22"/>
          <w:szCs w:val="22"/>
        </w:rPr>
        <w:t>a</w:t>
      </w:r>
      <w:r w:rsidR="00FC21FD">
        <w:rPr>
          <w:rFonts w:ascii="Arial" w:hAnsi="Arial" w:cs="Arial"/>
          <w:iCs/>
          <w:sz w:val="22"/>
          <w:szCs w:val="22"/>
        </w:rPr>
        <w:t xml:space="preserve"> (63mila unità</w:t>
      </w:r>
      <w:r w:rsidR="009756B3">
        <w:rPr>
          <w:rFonts w:ascii="Arial" w:hAnsi="Arial" w:cs="Arial"/>
          <w:iCs/>
          <w:sz w:val="22"/>
          <w:szCs w:val="22"/>
        </w:rPr>
        <w:t xml:space="preserve"> all’anno in media</w:t>
      </w:r>
      <w:r w:rsidR="00FC21FD">
        <w:rPr>
          <w:rFonts w:ascii="Arial" w:hAnsi="Arial" w:cs="Arial"/>
          <w:iCs/>
          <w:sz w:val="22"/>
          <w:szCs w:val="22"/>
        </w:rPr>
        <w:t>).</w:t>
      </w:r>
      <w:r w:rsidR="000C1F03">
        <w:rPr>
          <w:rFonts w:ascii="Arial" w:hAnsi="Arial" w:cs="Arial"/>
          <w:iCs/>
          <w:sz w:val="22"/>
          <w:szCs w:val="22"/>
        </w:rPr>
        <w:t xml:space="preserve"> Il Mezzogiorno continua quindi a perdere residenti </w:t>
      </w:r>
      <w:r w:rsidR="00864CEE">
        <w:rPr>
          <w:rFonts w:ascii="Arial" w:hAnsi="Arial" w:cs="Arial"/>
          <w:iCs/>
          <w:sz w:val="22"/>
          <w:szCs w:val="22"/>
        </w:rPr>
        <w:t>a vantaggio del</w:t>
      </w:r>
      <w:r w:rsidR="000C1F03">
        <w:rPr>
          <w:rFonts w:ascii="Arial" w:hAnsi="Arial" w:cs="Arial"/>
          <w:iCs/>
          <w:sz w:val="22"/>
          <w:szCs w:val="22"/>
        </w:rPr>
        <w:t xml:space="preserve"> </w:t>
      </w:r>
      <w:r w:rsidR="00A553A0">
        <w:rPr>
          <w:rFonts w:ascii="Arial" w:hAnsi="Arial" w:cs="Arial"/>
          <w:iCs/>
          <w:sz w:val="22"/>
          <w:szCs w:val="22"/>
        </w:rPr>
        <w:t>Centro-Nord</w:t>
      </w:r>
      <w:r w:rsidR="000C1F03">
        <w:rPr>
          <w:rFonts w:ascii="Arial" w:hAnsi="Arial" w:cs="Arial"/>
          <w:iCs/>
          <w:sz w:val="22"/>
          <w:szCs w:val="22"/>
        </w:rPr>
        <w:t xml:space="preserve">, registrando nel biennio 2023-24 un saldo migratorio </w:t>
      </w:r>
      <w:r w:rsidR="00317483">
        <w:rPr>
          <w:rFonts w:ascii="Arial" w:hAnsi="Arial" w:cs="Arial"/>
          <w:iCs/>
          <w:sz w:val="22"/>
          <w:szCs w:val="22"/>
        </w:rPr>
        <w:t xml:space="preserve">interno </w:t>
      </w:r>
      <w:r w:rsidR="000C1F03">
        <w:rPr>
          <w:rFonts w:ascii="Arial" w:hAnsi="Arial" w:cs="Arial"/>
          <w:iCs/>
          <w:sz w:val="22"/>
          <w:szCs w:val="22"/>
        </w:rPr>
        <w:t xml:space="preserve">complessivo di </w:t>
      </w:r>
      <w:r w:rsidR="00C97797">
        <w:rPr>
          <w:rFonts w:ascii="Arial" w:hAnsi="Arial" w:cs="Arial"/>
          <w:iCs/>
          <w:sz w:val="22"/>
          <w:szCs w:val="22"/>
        </w:rPr>
        <w:t xml:space="preserve">ben </w:t>
      </w:r>
      <w:r w:rsidR="000C1F03">
        <w:rPr>
          <w:rFonts w:ascii="Arial" w:hAnsi="Arial" w:cs="Arial"/>
          <w:iCs/>
          <w:sz w:val="22"/>
          <w:szCs w:val="22"/>
        </w:rPr>
        <w:t>-116mila unità</w:t>
      </w:r>
      <w:r w:rsidR="00F377E8">
        <w:rPr>
          <w:rFonts w:ascii="Arial" w:hAnsi="Arial" w:cs="Arial"/>
          <w:iCs/>
          <w:sz w:val="22"/>
          <w:szCs w:val="22"/>
        </w:rPr>
        <w:t xml:space="preserve">. </w:t>
      </w:r>
    </w:p>
    <w:p w14:paraId="2A332522" w14:textId="473460E4" w:rsidR="00A43B83" w:rsidRDefault="003865D0" w:rsidP="003865D0">
      <w:pPr>
        <w:spacing w:after="120"/>
        <w:jc w:val="both"/>
        <w:outlineLvl w:val="0"/>
        <w:rPr>
          <w:rFonts w:ascii="Arial" w:hAnsi="Arial" w:cs="Arial"/>
          <w:iCs/>
          <w:sz w:val="22"/>
          <w:szCs w:val="22"/>
        </w:rPr>
      </w:pPr>
      <w:r>
        <w:rPr>
          <w:rFonts w:ascii="Arial" w:hAnsi="Arial" w:cs="Arial"/>
          <w:iCs/>
          <w:sz w:val="22"/>
          <w:szCs w:val="22"/>
        </w:rPr>
        <w:t>De</w:t>
      </w:r>
      <w:r w:rsidR="00173B14">
        <w:rPr>
          <w:rFonts w:ascii="Arial" w:hAnsi="Arial" w:cs="Arial"/>
          <w:iCs/>
          <w:sz w:val="22"/>
          <w:szCs w:val="22"/>
        </w:rPr>
        <w:t xml:space="preserve">i </w:t>
      </w:r>
      <w:r w:rsidR="001E4F88">
        <w:rPr>
          <w:rFonts w:ascii="Arial" w:hAnsi="Arial" w:cs="Arial"/>
          <w:iCs/>
          <w:sz w:val="22"/>
          <w:szCs w:val="22"/>
        </w:rPr>
        <w:t xml:space="preserve">movimenti </w:t>
      </w:r>
      <w:r>
        <w:rPr>
          <w:rFonts w:ascii="Arial" w:hAnsi="Arial" w:cs="Arial"/>
          <w:iCs/>
          <w:sz w:val="22"/>
          <w:szCs w:val="22"/>
        </w:rPr>
        <w:t>d</w:t>
      </w:r>
      <w:r w:rsidR="00FF12FE">
        <w:rPr>
          <w:rFonts w:ascii="Arial" w:hAnsi="Arial" w:cs="Arial"/>
          <w:iCs/>
          <w:sz w:val="22"/>
          <w:szCs w:val="22"/>
        </w:rPr>
        <w:t>e</w:t>
      </w:r>
      <w:r>
        <w:rPr>
          <w:rFonts w:ascii="Arial" w:hAnsi="Arial" w:cs="Arial"/>
          <w:iCs/>
          <w:sz w:val="22"/>
          <w:szCs w:val="22"/>
        </w:rPr>
        <w:t>l Mezzogiorno</w:t>
      </w:r>
      <w:r w:rsidR="00FF12FE">
        <w:rPr>
          <w:rFonts w:ascii="Arial" w:hAnsi="Arial" w:cs="Arial"/>
          <w:iCs/>
          <w:sz w:val="22"/>
          <w:szCs w:val="22"/>
        </w:rPr>
        <w:t xml:space="preserve"> che</w:t>
      </w:r>
      <w:r>
        <w:rPr>
          <w:rFonts w:ascii="Arial" w:hAnsi="Arial" w:cs="Arial"/>
          <w:iCs/>
          <w:sz w:val="22"/>
          <w:szCs w:val="22"/>
        </w:rPr>
        <w:t xml:space="preserve"> </w:t>
      </w:r>
      <w:r w:rsidR="00173B14">
        <w:rPr>
          <w:rFonts w:ascii="Arial" w:hAnsi="Arial" w:cs="Arial"/>
          <w:iCs/>
          <w:sz w:val="22"/>
          <w:szCs w:val="22"/>
        </w:rPr>
        <w:t xml:space="preserve">hanno come destinazione </w:t>
      </w:r>
      <w:r w:rsidR="001E4F88">
        <w:rPr>
          <w:rFonts w:ascii="Arial" w:hAnsi="Arial" w:cs="Arial"/>
          <w:iCs/>
          <w:sz w:val="22"/>
          <w:szCs w:val="22"/>
        </w:rPr>
        <w:t>i</w:t>
      </w:r>
      <w:r>
        <w:rPr>
          <w:rFonts w:ascii="Arial" w:hAnsi="Arial" w:cs="Arial"/>
          <w:iCs/>
          <w:sz w:val="22"/>
          <w:szCs w:val="22"/>
        </w:rPr>
        <w:t xml:space="preserve">l </w:t>
      </w:r>
      <w:r w:rsidR="0023666D">
        <w:rPr>
          <w:rFonts w:ascii="Arial" w:hAnsi="Arial" w:cs="Arial"/>
          <w:iCs/>
          <w:sz w:val="22"/>
          <w:szCs w:val="22"/>
        </w:rPr>
        <w:t>Centro-Nord</w:t>
      </w:r>
      <w:r>
        <w:rPr>
          <w:rFonts w:ascii="Arial" w:hAnsi="Arial" w:cs="Arial"/>
          <w:iCs/>
          <w:sz w:val="22"/>
          <w:szCs w:val="22"/>
        </w:rPr>
        <w:t xml:space="preserve">, quasi tre su 10 </w:t>
      </w:r>
      <w:r w:rsidR="00973735">
        <w:rPr>
          <w:rFonts w:ascii="Arial" w:hAnsi="Arial" w:cs="Arial"/>
          <w:iCs/>
          <w:sz w:val="22"/>
          <w:szCs w:val="22"/>
        </w:rPr>
        <w:t>confluiscono in</w:t>
      </w:r>
      <w:r w:rsidR="001E4F88">
        <w:rPr>
          <w:rFonts w:ascii="Arial" w:hAnsi="Arial" w:cs="Arial"/>
          <w:iCs/>
          <w:sz w:val="22"/>
          <w:szCs w:val="22"/>
        </w:rPr>
        <w:t xml:space="preserve"> </w:t>
      </w:r>
      <w:r>
        <w:rPr>
          <w:rFonts w:ascii="Arial" w:hAnsi="Arial" w:cs="Arial"/>
          <w:iCs/>
          <w:sz w:val="22"/>
          <w:szCs w:val="22"/>
        </w:rPr>
        <w:t>Lombardia</w:t>
      </w:r>
      <w:r w:rsidR="00A43B83">
        <w:rPr>
          <w:rFonts w:ascii="Arial" w:hAnsi="Arial" w:cs="Arial"/>
          <w:iCs/>
          <w:sz w:val="22"/>
          <w:szCs w:val="22"/>
        </w:rPr>
        <w:t>, che</w:t>
      </w:r>
      <w:r>
        <w:rPr>
          <w:rFonts w:ascii="Arial" w:hAnsi="Arial" w:cs="Arial"/>
          <w:iCs/>
          <w:sz w:val="22"/>
          <w:szCs w:val="22"/>
        </w:rPr>
        <w:t xml:space="preserve"> rimane meta preferita </w:t>
      </w:r>
      <w:r w:rsidR="004B0B75">
        <w:rPr>
          <w:rFonts w:ascii="Arial" w:hAnsi="Arial" w:cs="Arial"/>
          <w:iCs/>
          <w:sz w:val="22"/>
          <w:szCs w:val="22"/>
        </w:rPr>
        <w:t>dei flussi</w:t>
      </w:r>
      <w:r>
        <w:rPr>
          <w:rFonts w:ascii="Arial" w:hAnsi="Arial" w:cs="Arial"/>
          <w:iCs/>
          <w:sz w:val="22"/>
          <w:szCs w:val="22"/>
        </w:rPr>
        <w:t xml:space="preserve"> </w:t>
      </w:r>
      <w:r w:rsidR="004B0B75">
        <w:rPr>
          <w:rFonts w:ascii="Arial" w:hAnsi="Arial" w:cs="Arial"/>
          <w:iCs/>
          <w:sz w:val="22"/>
          <w:szCs w:val="22"/>
        </w:rPr>
        <w:t xml:space="preserve">in partenza da molte </w:t>
      </w:r>
      <w:r>
        <w:rPr>
          <w:rFonts w:ascii="Arial" w:hAnsi="Arial" w:cs="Arial"/>
          <w:iCs/>
          <w:sz w:val="22"/>
          <w:szCs w:val="22"/>
        </w:rPr>
        <w:t>regioni meridionali</w:t>
      </w:r>
      <w:r w:rsidR="00A43B83">
        <w:rPr>
          <w:rFonts w:ascii="Arial" w:hAnsi="Arial" w:cs="Arial"/>
          <w:iCs/>
          <w:sz w:val="22"/>
          <w:szCs w:val="22"/>
        </w:rPr>
        <w:t>, con l’</w:t>
      </w:r>
      <w:r>
        <w:rPr>
          <w:rFonts w:ascii="Arial" w:hAnsi="Arial" w:cs="Arial"/>
          <w:iCs/>
          <w:sz w:val="22"/>
          <w:szCs w:val="22"/>
        </w:rPr>
        <w:t xml:space="preserve">eccezione delle regioni Abruzzo e Molise </w:t>
      </w:r>
      <w:r w:rsidR="004B0B75">
        <w:rPr>
          <w:rFonts w:ascii="Arial" w:hAnsi="Arial" w:cs="Arial"/>
          <w:iCs/>
          <w:sz w:val="22"/>
          <w:szCs w:val="22"/>
        </w:rPr>
        <w:t xml:space="preserve">dove </w:t>
      </w:r>
      <w:r w:rsidR="00784C96">
        <w:rPr>
          <w:rFonts w:ascii="Arial" w:hAnsi="Arial" w:cs="Arial"/>
          <w:iCs/>
          <w:sz w:val="22"/>
          <w:szCs w:val="22"/>
        </w:rPr>
        <w:t>oltre il</w:t>
      </w:r>
      <w:r w:rsidR="004B0B75">
        <w:rPr>
          <w:rFonts w:ascii="Arial" w:hAnsi="Arial" w:cs="Arial"/>
          <w:iCs/>
          <w:sz w:val="22"/>
          <w:szCs w:val="22"/>
        </w:rPr>
        <w:t xml:space="preserve"> 25% delle emigrazioni interne ha come destinazione il </w:t>
      </w:r>
      <w:r>
        <w:rPr>
          <w:rFonts w:ascii="Arial" w:hAnsi="Arial" w:cs="Arial"/>
          <w:iCs/>
          <w:sz w:val="22"/>
          <w:szCs w:val="22"/>
        </w:rPr>
        <w:t>Lazio (</w:t>
      </w:r>
      <w:r w:rsidRPr="00AB6E4A">
        <w:rPr>
          <w:rFonts w:ascii="Arial" w:hAnsi="Arial" w:cs="Arial"/>
          <w:iCs/>
          <w:sz w:val="22"/>
          <w:szCs w:val="22"/>
        </w:rPr>
        <w:t>Figura 1).</w:t>
      </w:r>
      <w:r w:rsidR="00A43B83">
        <w:rPr>
          <w:rFonts w:ascii="Arial" w:hAnsi="Arial" w:cs="Arial"/>
          <w:iCs/>
          <w:sz w:val="22"/>
          <w:szCs w:val="22"/>
        </w:rPr>
        <w:t xml:space="preserve"> </w:t>
      </w:r>
      <w:r w:rsidR="009756B3">
        <w:rPr>
          <w:rFonts w:ascii="Arial" w:hAnsi="Arial" w:cs="Arial"/>
          <w:iCs/>
          <w:sz w:val="22"/>
          <w:szCs w:val="22"/>
        </w:rPr>
        <w:t>Il</w:t>
      </w:r>
      <w:r w:rsidR="00776687">
        <w:rPr>
          <w:rFonts w:ascii="Arial" w:hAnsi="Arial" w:cs="Arial"/>
          <w:iCs/>
          <w:sz w:val="22"/>
          <w:szCs w:val="22"/>
        </w:rPr>
        <w:t xml:space="preserve"> 28,5% dei movimenti verso il </w:t>
      </w:r>
      <w:r w:rsidR="0023666D">
        <w:rPr>
          <w:rFonts w:ascii="Arial" w:hAnsi="Arial" w:cs="Arial"/>
          <w:iCs/>
          <w:sz w:val="22"/>
          <w:szCs w:val="22"/>
        </w:rPr>
        <w:t>Centro-Nord</w:t>
      </w:r>
      <w:r w:rsidR="00776687">
        <w:rPr>
          <w:rFonts w:ascii="Arial" w:hAnsi="Arial" w:cs="Arial"/>
          <w:iCs/>
          <w:sz w:val="22"/>
          <w:szCs w:val="22"/>
        </w:rPr>
        <w:t xml:space="preserve"> origin</w:t>
      </w:r>
      <w:r w:rsidR="00C97797">
        <w:rPr>
          <w:rFonts w:ascii="Arial" w:hAnsi="Arial" w:cs="Arial"/>
          <w:iCs/>
          <w:sz w:val="22"/>
          <w:szCs w:val="22"/>
        </w:rPr>
        <w:t>a dalla</w:t>
      </w:r>
      <w:r w:rsidR="00776687">
        <w:rPr>
          <w:rFonts w:ascii="Arial" w:hAnsi="Arial" w:cs="Arial"/>
          <w:iCs/>
          <w:sz w:val="22"/>
          <w:szCs w:val="22"/>
        </w:rPr>
        <w:t xml:space="preserve"> Campania, il 24,1% </w:t>
      </w:r>
      <w:r w:rsidR="00AB6E4A">
        <w:rPr>
          <w:rFonts w:ascii="Arial" w:hAnsi="Arial" w:cs="Arial"/>
          <w:iCs/>
          <w:sz w:val="22"/>
          <w:szCs w:val="22"/>
        </w:rPr>
        <w:t xml:space="preserve">proviene </w:t>
      </w:r>
      <w:r w:rsidR="00776687">
        <w:rPr>
          <w:rFonts w:ascii="Arial" w:hAnsi="Arial" w:cs="Arial"/>
          <w:iCs/>
          <w:sz w:val="22"/>
          <w:szCs w:val="22"/>
        </w:rPr>
        <w:t xml:space="preserve">dalla Sicilia e il 18,0% dalla Puglia. </w:t>
      </w:r>
    </w:p>
    <w:p w14:paraId="6643C67A" w14:textId="423250DA" w:rsidR="003865D0" w:rsidRDefault="003865D0" w:rsidP="000E5BEC">
      <w:pPr>
        <w:spacing w:after="120"/>
        <w:jc w:val="both"/>
        <w:outlineLvl w:val="0"/>
        <w:rPr>
          <w:rFonts w:ascii="Arial" w:hAnsi="Arial" w:cs="Arial"/>
          <w:iCs/>
          <w:sz w:val="22"/>
          <w:szCs w:val="22"/>
        </w:rPr>
      </w:pPr>
      <w:r>
        <w:rPr>
          <w:rFonts w:ascii="Arial" w:hAnsi="Arial" w:cs="Arial"/>
          <w:iCs/>
          <w:sz w:val="22"/>
          <w:szCs w:val="22"/>
        </w:rPr>
        <w:t xml:space="preserve">In termini relativi, la Calabria registra il tasso di emigratorietà più alto: quasi nove individui per mille residenti </w:t>
      </w:r>
      <w:r w:rsidR="00776687">
        <w:rPr>
          <w:rFonts w:ascii="Arial" w:hAnsi="Arial" w:cs="Arial"/>
          <w:iCs/>
          <w:sz w:val="22"/>
          <w:szCs w:val="22"/>
        </w:rPr>
        <w:t xml:space="preserve">in questa regione si sono </w:t>
      </w:r>
      <w:r>
        <w:rPr>
          <w:rFonts w:ascii="Arial" w:hAnsi="Arial" w:cs="Arial"/>
          <w:iCs/>
          <w:sz w:val="22"/>
          <w:szCs w:val="22"/>
        </w:rPr>
        <w:t xml:space="preserve">diretti verso il </w:t>
      </w:r>
      <w:r w:rsidR="0023666D">
        <w:rPr>
          <w:rFonts w:ascii="Arial" w:hAnsi="Arial" w:cs="Arial"/>
          <w:iCs/>
          <w:sz w:val="22"/>
          <w:szCs w:val="22"/>
        </w:rPr>
        <w:t>Centro-Nord</w:t>
      </w:r>
      <w:r>
        <w:rPr>
          <w:rFonts w:ascii="Arial" w:hAnsi="Arial" w:cs="Arial"/>
          <w:iCs/>
          <w:sz w:val="22"/>
          <w:szCs w:val="22"/>
        </w:rPr>
        <w:t>, nel biennio considerato. Seguono Basilicata e Molise, con tassi di emigratorietà pari a</w:t>
      </w:r>
      <w:r w:rsidR="000539CE">
        <w:rPr>
          <w:rFonts w:ascii="Arial" w:hAnsi="Arial" w:cs="Arial"/>
          <w:iCs/>
          <w:sz w:val="22"/>
          <w:szCs w:val="22"/>
        </w:rPr>
        <w:t xml:space="preserve"> </w:t>
      </w:r>
      <w:r>
        <w:rPr>
          <w:rFonts w:ascii="Arial" w:hAnsi="Arial" w:cs="Arial"/>
          <w:iCs/>
          <w:sz w:val="22"/>
          <w:szCs w:val="22"/>
        </w:rPr>
        <w:t>7,8 e 7,3 per mille</w:t>
      </w:r>
      <w:r w:rsidR="00C97797">
        <w:rPr>
          <w:rFonts w:ascii="Arial" w:hAnsi="Arial" w:cs="Arial"/>
          <w:iCs/>
          <w:sz w:val="22"/>
          <w:szCs w:val="22"/>
        </w:rPr>
        <w:t>, rispettivamente</w:t>
      </w:r>
      <w:r>
        <w:rPr>
          <w:rFonts w:ascii="Arial" w:hAnsi="Arial" w:cs="Arial"/>
          <w:iCs/>
          <w:sz w:val="22"/>
          <w:szCs w:val="22"/>
        </w:rPr>
        <w:t xml:space="preserve">. </w:t>
      </w:r>
      <w:r w:rsidR="00776687">
        <w:rPr>
          <w:rFonts w:ascii="Arial" w:hAnsi="Arial" w:cs="Arial"/>
          <w:iCs/>
          <w:sz w:val="22"/>
          <w:szCs w:val="22"/>
        </w:rPr>
        <w:t xml:space="preserve">A livello provinciale, il tasso di emigratorietà più elevato si registra a Crotone, da cui partono </w:t>
      </w:r>
      <w:r w:rsidR="008178D2">
        <w:rPr>
          <w:rFonts w:ascii="Arial" w:hAnsi="Arial" w:cs="Arial"/>
          <w:iCs/>
          <w:sz w:val="22"/>
          <w:szCs w:val="22"/>
        </w:rPr>
        <w:t xml:space="preserve">verso </w:t>
      </w:r>
      <w:r w:rsidR="00C97797">
        <w:rPr>
          <w:rFonts w:ascii="Arial" w:hAnsi="Arial" w:cs="Arial"/>
          <w:iCs/>
          <w:sz w:val="22"/>
          <w:szCs w:val="22"/>
        </w:rPr>
        <w:br/>
      </w:r>
      <w:r w:rsidR="008178D2">
        <w:rPr>
          <w:rFonts w:ascii="Arial" w:hAnsi="Arial" w:cs="Arial"/>
          <w:iCs/>
          <w:sz w:val="22"/>
          <w:szCs w:val="22"/>
        </w:rPr>
        <w:t xml:space="preserve">il </w:t>
      </w:r>
      <w:r w:rsidR="0023666D">
        <w:rPr>
          <w:rFonts w:ascii="Arial" w:hAnsi="Arial" w:cs="Arial"/>
          <w:iCs/>
          <w:sz w:val="22"/>
          <w:szCs w:val="22"/>
        </w:rPr>
        <w:t>Centro-Nord</w:t>
      </w:r>
      <w:r w:rsidR="008178D2">
        <w:rPr>
          <w:rFonts w:ascii="Arial" w:hAnsi="Arial" w:cs="Arial"/>
          <w:iCs/>
          <w:sz w:val="22"/>
          <w:szCs w:val="22"/>
        </w:rPr>
        <w:t xml:space="preserve"> </w:t>
      </w:r>
      <w:r w:rsidR="00CA4347">
        <w:rPr>
          <w:rFonts w:ascii="Arial" w:hAnsi="Arial" w:cs="Arial"/>
          <w:iCs/>
          <w:sz w:val="22"/>
          <w:szCs w:val="22"/>
        </w:rPr>
        <w:t xml:space="preserve">in media </w:t>
      </w:r>
      <w:r w:rsidR="00776687">
        <w:rPr>
          <w:rFonts w:ascii="Arial" w:hAnsi="Arial" w:cs="Arial"/>
          <w:iCs/>
          <w:sz w:val="22"/>
          <w:szCs w:val="22"/>
        </w:rPr>
        <w:t xml:space="preserve">quasi 11 individui per mille residenti. Viceversa, le regioni del </w:t>
      </w:r>
      <w:r w:rsidR="0023666D">
        <w:rPr>
          <w:rFonts w:ascii="Arial" w:hAnsi="Arial" w:cs="Arial"/>
          <w:iCs/>
          <w:sz w:val="22"/>
          <w:szCs w:val="22"/>
        </w:rPr>
        <w:t>Centro-Nord</w:t>
      </w:r>
      <w:r w:rsidR="00776687">
        <w:rPr>
          <w:rFonts w:ascii="Arial" w:hAnsi="Arial" w:cs="Arial"/>
          <w:iCs/>
          <w:sz w:val="22"/>
          <w:szCs w:val="22"/>
        </w:rPr>
        <w:t xml:space="preserve"> con il tasso di immigratorietà più elevato sono l’Emilia</w:t>
      </w:r>
      <w:r w:rsidR="00864CEE">
        <w:rPr>
          <w:rFonts w:ascii="Arial" w:hAnsi="Arial" w:cs="Arial"/>
          <w:iCs/>
          <w:sz w:val="22"/>
          <w:szCs w:val="22"/>
        </w:rPr>
        <w:t>-</w:t>
      </w:r>
      <w:r w:rsidR="00776687">
        <w:rPr>
          <w:rFonts w:ascii="Arial" w:hAnsi="Arial" w:cs="Arial"/>
          <w:iCs/>
          <w:sz w:val="22"/>
          <w:szCs w:val="22"/>
        </w:rPr>
        <w:t>Romagna, con oltre 4 movimenti in entrata</w:t>
      </w:r>
      <w:r w:rsidR="008178D2">
        <w:rPr>
          <w:rFonts w:ascii="Arial" w:hAnsi="Arial" w:cs="Arial"/>
          <w:iCs/>
          <w:sz w:val="22"/>
          <w:szCs w:val="22"/>
        </w:rPr>
        <w:t xml:space="preserve"> dal Mezzogiorno</w:t>
      </w:r>
      <w:r w:rsidR="00776687">
        <w:rPr>
          <w:rFonts w:ascii="Arial" w:hAnsi="Arial" w:cs="Arial"/>
          <w:iCs/>
          <w:sz w:val="22"/>
          <w:szCs w:val="22"/>
        </w:rPr>
        <w:t xml:space="preserve"> per ogni </w:t>
      </w:r>
      <w:r w:rsidR="00503C42">
        <w:rPr>
          <w:rFonts w:ascii="Arial" w:hAnsi="Arial" w:cs="Arial"/>
          <w:iCs/>
          <w:sz w:val="22"/>
          <w:szCs w:val="22"/>
        </w:rPr>
        <w:t xml:space="preserve">mille </w:t>
      </w:r>
      <w:r w:rsidR="00776687">
        <w:rPr>
          <w:rFonts w:ascii="Arial" w:hAnsi="Arial" w:cs="Arial"/>
          <w:iCs/>
          <w:sz w:val="22"/>
          <w:szCs w:val="22"/>
        </w:rPr>
        <w:t>residenti, la Lombardia</w:t>
      </w:r>
      <w:r w:rsidR="00503C42">
        <w:rPr>
          <w:rFonts w:ascii="Arial" w:hAnsi="Arial" w:cs="Arial"/>
          <w:iCs/>
          <w:sz w:val="22"/>
          <w:szCs w:val="22"/>
        </w:rPr>
        <w:t xml:space="preserve"> e il Lazio</w:t>
      </w:r>
      <w:r w:rsidR="00776687">
        <w:rPr>
          <w:rFonts w:ascii="Arial" w:hAnsi="Arial" w:cs="Arial"/>
          <w:iCs/>
          <w:sz w:val="22"/>
          <w:szCs w:val="22"/>
        </w:rPr>
        <w:t xml:space="preserve">, </w:t>
      </w:r>
      <w:r w:rsidR="00503C42">
        <w:rPr>
          <w:rFonts w:ascii="Arial" w:hAnsi="Arial" w:cs="Arial"/>
          <w:iCs/>
          <w:sz w:val="22"/>
          <w:szCs w:val="22"/>
        </w:rPr>
        <w:t xml:space="preserve">entrambe </w:t>
      </w:r>
      <w:r w:rsidR="00776687">
        <w:rPr>
          <w:rFonts w:ascii="Arial" w:hAnsi="Arial" w:cs="Arial"/>
          <w:iCs/>
          <w:sz w:val="22"/>
          <w:szCs w:val="22"/>
        </w:rPr>
        <w:t xml:space="preserve">con un tasso pari al 3,3 per mille. </w:t>
      </w:r>
    </w:p>
    <w:p w14:paraId="5ED04A69" w14:textId="77777777" w:rsidR="00AB6E4A" w:rsidRPr="00EB06D6" w:rsidRDefault="00AB6E4A" w:rsidP="0055568C">
      <w:pPr>
        <w:jc w:val="both"/>
        <w:outlineLvl w:val="0"/>
        <w:rPr>
          <w:rFonts w:ascii="Arial" w:hAnsi="Arial" w:cs="Arial"/>
          <w:iCs/>
          <w:sz w:val="36"/>
          <w:szCs w:val="22"/>
        </w:rPr>
      </w:pPr>
    </w:p>
    <w:p w14:paraId="68FD56C3" w14:textId="5AD66F27" w:rsidR="00E95D7D" w:rsidRDefault="00E95D7D" w:rsidP="0055568C">
      <w:pPr>
        <w:jc w:val="both"/>
        <w:outlineLvl w:val="0"/>
        <w:rPr>
          <w:rFonts w:ascii="Arial" w:hAnsi="Arial" w:cs="Arial"/>
          <w:iCs/>
          <w:sz w:val="22"/>
          <w:szCs w:val="22"/>
        </w:rPr>
      </w:pPr>
    </w:p>
    <w:p w14:paraId="7C0405D4" w14:textId="3CE9002C" w:rsidR="006F1BA5" w:rsidRDefault="006F1BA5" w:rsidP="00A7106C">
      <w:pPr>
        <w:spacing w:after="120"/>
        <w:rPr>
          <w:rFonts w:ascii="Arial Narrow" w:hAnsi="Arial Narrow" w:cs="Arial"/>
          <w:iCs/>
          <w:noProof/>
          <w:color w:val="1F497D" w:themeColor="text2"/>
          <w:sz w:val="22"/>
          <w:szCs w:val="22"/>
        </w:rPr>
      </w:pPr>
      <w:bookmarkStart w:id="1" w:name="_Hlk25776699"/>
      <w:r w:rsidRPr="005D02DA">
        <w:rPr>
          <w:rFonts w:ascii="Arial Black" w:hAnsi="Arial Black" w:cs="Arial"/>
          <w:iCs/>
          <w:noProof/>
          <w:color w:val="1F497D" w:themeColor="text2"/>
          <w:sz w:val="22"/>
          <w:szCs w:val="22"/>
        </w:rPr>
        <w:t xml:space="preserve">FIGURA </w:t>
      </w:r>
      <w:r w:rsidR="00961B1F">
        <w:rPr>
          <w:rFonts w:ascii="Arial Black" w:hAnsi="Arial Black" w:cs="Arial"/>
          <w:iCs/>
          <w:noProof/>
          <w:color w:val="1F497D" w:themeColor="text2"/>
          <w:sz w:val="22"/>
          <w:szCs w:val="22"/>
        </w:rPr>
        <w:t>1</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00E03C20">
        <w:rPr>
          <w:rFonts w:ascii="Arial Narrow" w:hAnsi="Arial Narrow" w:cs="Arial"/>
          <w:b/>
          <w:iCs/>
          <w:noProof/>
          <w:color w:val="1F497D" w:themeColor="text2"/>
          <w:sz w:val="22"/>
          <w:szCs w:val="22"/>
        </w:rPr>
        <w:t xml:space="preserve">PRINCIPALI TRAIETTORIE DEGLI SPOSTAMENTI DAL MEZZOGIORNO VERSO IL CENTRO-NORD, </w:t>
      </w:r>
      <w:r>
        <w:rPr>
          <w:rFonts w:ascii="Arial Narrow" w:hAnsi="Arial Narrow" w:cs="Arial"/>
          <w:b/>
          <w:iCs/>
          <w:noProof/>
          <w:color w:val="1F497D" w:themeColor="text2"/>
          <w:sz w:val="22"/>
          <w:szCs w:val="22"/>
        </w:rPr>
        <w:t>PER REGIONE</w:t>
      </w:r>
      <w:r w:rsidR="00E03C20">
        <w:rPr>
          <w:rFonts w:ascii="Arial Narrow" w:hAnsi="Arial Narrow" w:cs="Arial"/>
          <w:b/>
          <w:iCs/>
          <w:noProof/>
          <w:color w:val="1F497D" w:themeColor="text2"/>
          <w:sz w:val="22"/>
          <w:szCs w:val="22"/>
        </w:rPr>
        <w:t xml:space="preserve"> DI ORIGINE E </w:t>
      </w:r>
      <w:r w:rsidR="00530AA5">
        <w:rPr>
          <w:rFonts w:ascii="Arial Narrow" w:hAnsi="Arial Narrow" w:cs="Arial"/>
          <w:b/>
          <w:iCs/>
          <w:noProof/>
          <w:color w:val="1F497D" w:themeColor="text2"/>
          <w:sz w:val="22"/>
          <w:szCs w:val="22"/>
        </w:rPr>
        <w:t xml:space="preserve">PRINCIPALI REGIONI DI </w:t>
      </w:r>
      <w:r w:rsidR="00E03C20">
        <w:rPr>
          <w:rFonts w:ascii="Arial Narrow" w:hAnsi="Arial Narrow" w:cs="Arial"/>
          <w:b/>
          <w:iCs/>
          <w:noProof/>
          <w:color w:val="1F497D" w:themeColor="text2"/>
          <w:sz w:val="22"/>
          <w:szCs w:val="22"/>
        </w:rPr>
        <w:t>DESTINAZIONE</w:t>
      </w:r>
      <w:r>
        <w:rPr>
          <w:rFonts w:ascii="Arial Narrow" w:hAnsi="Arial Narrow" w:cs="Arial"/>
          <w:b/>
          <w:iCs/>
          <w:noProof/>
          <w:color w:val="1F497D" w:themeColor="text2"/>
          <w:sz w:val="22"/>
          <w:szCs w:val="22"/>
        </w:rPr>
        <w:t xml:space="preserve">. </w:t>
      </w:r>
      <w:r w:rsidR="009756B3" w:rsidRPr="00087545">
        <w:rPr>
          <w:rFonts w:ascii="Arial Narrow" w:hAnsi="Arial Narrow" w:cs="Arial"/>
          <w:bCs/>
          <w:iCs/>
          <w:noProof/>
          <w:color w:val="1F497D" w:themeColor="text2"/>
          <w:sz w:val="22"/>
          <w:szCs w:val="22"/>
        </w:rPr>
        <w:t xml:space="preserve">Media </w:t>
      </w:r>
      <w:r w:rsidR="009756B3">
        <w:rPr>
          <w:rFonts w:ascii="Arial Narrow" w:hAnsi="Arial Narrow" w:cs="Arial"/>
          <w:iCs/>
          <w:noProof/>
          <w:color w:val="1F497D" w:themeColor="text2"/>
          <w:sz w:val="22"/>
          <w:szCs w:val="22"/>
        </w:rPr>
        <w:t>a</w:t>
      </w:r>
      <w:r w:rsidR="009756B3" w:rsidRPr="003F4D0E">
        <w:rPr>
          <w:rFonts w:ascii="Arial Narrow" w:hAnsi="Arial Narrow" w:cs="Arial"/>
          <w:iCs/>
          <w:noProof/>
          <w:color w:val="1F497D" w:themeColor="text2"/>
          <w:sz w:val="22"/>
          <w:szCs w:val="22"/>
        </w:rPr>
        <w:t>nn</w:t>
      </w:r>
      <w:r w:rsidR="009756B3">
        <w:rPr>
          <w:rFonts w:ascii="Arial Narrow" w:hAnsi="Arial Narrow" w:cs="Arial"/>
          <w:iCs/>
          <w:noProof/>
          <w:color w:val="1F497D" w:themeColor="text2"/>
          <w:sz w:val="22"/>
          <w:szCs w:val="22"/>
        </w:rPr>
        <w:t xml:space="preserve">i </w:t>
      </w:r>
      <w:r w:rsidRPr="003F4D0E">
        <w:rPr>
          <w:rFonts w:ascii="Arial Narrow" w:hAnsi="Arial Narrow" w:cs="Arial"/>
          <w:iCs/>
          <w:noProof/>
          <w:color w:val="1F497D" w:themeColor="text2"/>
          <w:sz w:val="22"/>
          <w:szCs w:val="22"/>
        </w:rPr>
        <w:t>20</w:t>
      </w:r>
      <w:r>
        <w:rPr>
          <w:rFonts w:ascii="Arial Narrow" w:hAnsi="Arial Narrow" w:cs="Arial"/>
          <w:iCs/>
          <w:noProof/>
          <w:color w:val="1F497D" w:themeColor="text2"/>
          <w:sz w:val="22"/>
          <w:szCs w:val="22"/>
        </w:rPr>
        <w:t>2</w:t>
      </w:r>
      <w:r w:rsidR="008178D2">
        <w:rPr>
          <w:rFonts w:ascii="Arial Narrow" w:hAnsi="Arial Narrow" w:cs="Arial"/>
          <w:iCs/>
          <w:noProof/>
          <w:color w:val="1F497D" w:themeColor="text2"/>
          <w:sz w:val="22"/>
          <w:szCs w:val="22"/>
        </w:rPr>
        <w:t>3</w:t>
      </w:r>
      <w:r w:rsidR="00E03C20">
        <w:rPr>
          <w:rFonts w:ascii="Arial Narrow" w:hAnsi="Arial Narrow" w:cs="Arial"/>
          <w:iCs/>
          <w:noProof/>
          <w:color w:val="1F497D" w:themeColor="text2"/>
          <w:sz w:val="22"/>
          <w:szCs w:val="22"/>
        </w:rPr>
        <w:t>-202</w:t>
      </w:r>
      <w:r w:rsidR="008178D2">
        <w:rPr>
          <w:rFonts w:ascii="Arial Narrow" w:hAnsi="Arial Narrow" w:cs="Arial"/>
          <w:iCs/>
          <w:noProof/>
          <w:color w:val="1F497D" w:themeColor="text2"/>
          <w:sz w:val="22"/>
          <w:szCs w:val="22"/>
        </w:rPr>
        <w:t>4</w:t>
      </w:r>
      <w:r w:rsidRPr="003F4D0E">
        <w:rPr>
          <w:rFonts w:ascii="Arial Narrow" w:hAnsi="Arial Narrow" w:cs="Arial"/>
          <w:iCs/>
          <w:noProof/>
          <w:color w:val="1F497D" w:themeColor="text2"/>
          <w:sz w:val="22"/>
          <w:szCs w:val="22"/>
        </w:rPr>
        <w:t xml:space="preserve">, </w:t>
      </w:r>
      <w:r w:rsidR="00E03C20">
        <w:rPr>
          <w:rFonts w:ascii="Arial Narrow" w:hAnsi="Arial Narrow" w:cs="Arial"/>
          <w:iCs/>
          <w:noProof/>
          <w:color w:val="1F497D" w:themeColor="text2"/>
          <w:sz w:val="22"/>
          <w:szCs w:val="22"/>
        </w:rPr>
        <w:t>valori percentuali.</w:t>
      </w:r>
    </w:p>
    <w:p w14:paraId="3CFF37F2" w14:textId="4EE4D8C8" w:rsidR="00C97797" w:rsidRDefault="008178D2" w:rsidP="0055568C">
      <w:pPr>
        <w:spacing w:after="120"/>
        <w:rPr>
          <w:rFonts w:ascii="Arial Narrow" w:hAnsi="Arial Narrow" w:cs="Arial"/>
          <w:iCs/>
          <w:noProof/>
          <w:color w:val="1F497D" w:themeColor="text2"/>
          <w:sz w:val="22"/>
          <w:szCs w:val="22"/>
        </w:rPr>
      </w:pPr>
      <w:r>
        <w:rPr>
          <w:noProof/>
        </w:rPr>
        <w:drawing>
          <wp:inline distT="0" distB="0" distL="0" distR="0" wp14:anchorId="74FB6DCE" wp14:editId="45672F30">
            <wp:extent cx="6476036" cy="2477135"/>
            <wp:effectExtent l="0" t="0" r="1270" b="0"/>
            <wp:docPr id="1158991926" name="Grafico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97797">
        <w:rPr>
          <w:rFonts w:ascii="Arial Narrow" w:hAnsi="Arial Narrow" w:cs="Arial"/>
          <w:iCs/>
          <w:noProof/>
          <w:color w:val="1F497D" w:themeColor="text2"/>
          <w:sz w:val="22"/>
          <w:szCs w:val="22"/>
        </w:rPr>
        <w:br w:type="page"/>
      </w:r>
    </w:p>
    <w:p w14:paraId="22BC9E04" w14:textId="3557070E" w:rsidR="007866A0" w:rsidRDefault="008729BF" w:rsidP="00086249">
      <w:pPr>
        <w:spacing w:after="120"/>
        <w:jc w:val="both"/>
        <w:rPr>
          <w:rFonts w:ascii="Arial" w:hAnsi="Arial" w:cs="Arial"/>
          <w:b/>
          <w:iCs/>
          <w:color w:val="1F497D" w:themeColor="text2"/>
          <w:sz w:val="26"/>
          <w:szCs w:val="26"/>
        </w:rPr>
      </w:pPr>
      <w:bookmarkStart w:id="2" w:name="_Hlk198225629"/>
      <w:bookmarkEnd w:id="1"/>
      <w:r>
        <w:rPr>
          <w:rFonts w:ascii="Arial" w:hAnsi="Arial" w:cs="Arial"/>
          <w:b/>
          <w:iCs/>
          <w:color w:val="1F497D" w:themeColor="text2"/>
          <w:sz w:val="26"/>
          <w:szCs w:val="26"/>
        </w:rPr>
        <w:lastRenderedPageBreak/>
        <w:t xml:space="preserve">Un nuovo </w:t>
      </w:r>
      <w:r w:rsidR="008D0FA3">
        <w:rPr>
          <w:rFonts w:ascii="Arial" w:hAnsi="Arial" w:cs="Arial"/>
          <w:b/>
          <w:iCs/>
          <w:color w:val="1F497D" w:themeColor="text2"/>
          <w:sz w:val="26"/>
          <w:szCs w:val="26"/>
        </w:rPr>
        <w:t xml:space="preserve">record </w:t>
      </w:r>
      <w:r>
        <w:rPr>
          <w:rFonts w:ascii="Arial" w:hAnsi="Arial" w:cs="Arial"/>
          <w:b/>
          <w:iCs/>
          <w:color w:val="1F497D" w:themeColor="text2"/>
          <w:sz w:val="26"/>
          <w:szCs w:val="26"/>
        </w:rPr>
        <w:t>per g</w:t>
      </w:r>
      <w:r w:rsidR="007866A0">
        <w:rPr>
          <w:rFonts w:ascii="Arial" w:hAnsi="Arial" w:cs="Arial"/>
          <w:b/>
          <w:iCs/>
          <w:color w:val="1F497D" w:themeColor="text2"/>
          <w:sz w:val="26"/>
          <w:szCs w:val="26"/>
        </w:rPr>
        <w:t>li ingressi dei cittadini stranieri</w:t>
      </w:r>
    </w:p>
    <w:bookmarkEnd w:id="2"/>
    <w:p w14:paraId="64AD13D2" w14:textId="5339A34B" w:rsidR="008D0FA3" w:rsidRDefault="008B74D3" w:rsidP="00554C5C">
      <w:pPr>
        <w:spacing w:after="120"/>
        <w:jc w:val="both"/>
        <w:rPr>
          <w:rFonts w:ascii="Arial" w:hAnsi="Arial" w:cs="Arial"/>
          <w:iCs/>
          <w:sz w:val="22"/>
          <w:szCs w:val="22"/>
        </w:rPr>
      </w:pPr>
      <w:r w:rsidRPr="008B74D3">
        <w:rPr>
          <w:rFonts w:ascii="Arial" w:hAnsi="Arial" w:cs="Arial"/>
          <w:iCs/>
          <w:sz w:val="22"/>
          <w:szCs w:val="22"/>
        </w:rPr>
        <w:t>Tra il 2023 e il 2024</w:t>
      </w:r>
      <w:r>
        <w:rPr>
          <w:rFonts w:ascii="Arial" w:hAnsi="Arial" w:cs="Arial"/>
          <w:iCs/>
          <w:sz w:val="22"/>
          <w:szCs w:val="22"/>
        </w:rPr>
        <w:t>, co</w:t>
      </w:r>
      <w:r w:rsidRPr="008B74D3">
        <w:rPr>
          <w:rFonts w:ascii="Arial" w:hAnsi="Arial" w:cs="Arial"/>
          <w:iCs/>
          <w:sz w:val="22"/>
          <w:szCs w:val="22"/>
        </w:rPr>
        <w:t>mplessivamente, sono state registrate 874mila immigrazioni</w:t>
      </w:r>
      <w:r>
        <w:rPr>
          <w:rFonts w:ascii="Arial" w:hAnsi="Arial" w:cs="Arial"/>
          <w:iCs/>
          <w:sz w:val="22"/>
          <w:szCs w:val="22"/>
        </w:rPr>
        <w:t xml:space="preserve">, con un incremento </w:t>
      </w:r>
      <w:r w:rsidRPr="008B74D3">
        <w:rPr>
          <w:rFonts w:ascii="Arial" w:hAnsi="Arial" w:cs="Arial"/>
          <w:iCs/>
          <w:sz w:val="22"/>
          <w:szCs w:val="22"/>
        </w:rPr>
        <w:t xml:space="preserve">medio pari al </w:t>
      </w:r>
      <w:r>
        <w:rPr>
          <w:rFonts w:ascii="Arial" w:hAnsi="Arial" w:cs="Arial"/>
          <w:iCs/>
          <w:sz w:val="22"/>
          <w:szCs w:val="22"/>
        </w:rPr>
        <w:t>6,4</w:t>
      </w:r>
      <w:r w:rsidRPr="008B74D3">
        <w:rPr>
          <w:rFonts w:ascii="Arial" w:hAnsi="Arial" w:cs="Arial"/>
          <w:iCs/>
          <w:sz w:val="22"/>
          <w:szCs w:val="22"/>
        </w:rPr>
        <w:t>% rispetto al 2022</w:t>
      </w:r>
      <w:r>
        <w:rPr>
          <w:rFonts w:ascii="Arial" w:hAnsi="Arial" w:cs="Arial"/>
          <w:iCs/>
          <w:sz w:val="22"/>
          <w:szCs w:val="22"/>
        </w:rPr>
        <w:t xml:space="preserve">, trainato </w:t>
      </w:r>
      <w:r w:rsidR="00160D0C">
        <w:rPr>
          <w:rFonts w:ascii="Arial" w:hAnsi="Arial" w:cs="Arial"/>
          <w:iCs/>
          <w:sz w:val="22"/>
          <w:szCs w:val="22"/>
        </w:rPr>
        <w:t>esclusivamente</w:t>
      </w:r>
      <w:r>
        <w:rPr>
          <w:rFonts w:ascii="Arial" w:hAnsi="Arial" w:cs="Arial"/>
          <w:iCs/>
          <w:sz w:val="22"/>
          <w:szCs w:val="22"/>
        </w:rPr>
        <w:t xml:space="preserve"> dalla variazione positiva degli ingressi</w:t>
      </w:r>
      <w:r w:rsidRPr="008B74D3">
        <w:rPr>
          <w:rFonts w:ascii="Arial" w:hAnsi="Arial" w:cs="Arial"/>
          <w:iCs/>
          <w:sz w:val="22"/>
          <w:szCs w:val="22"/>
        </w:rPr>
        <w:t xml:space="preserve"> </w:t>
      </w:r>
      <w:r w:rsidR="00554C5C" w:rsidRPr="008B74D3">
        <w:rPr>
          <w:rFonts w:ascii="Arial" w:hAnsi="Arial" w:cs="Arial"/>
          <w:iCs/>
          <w:sz w:val="22"/>
          <w:szCs w:val="22"/>
        </w:rPr>
        <w:t>de</w:t>
      </w:r>
      <w:r w:rsidR="00554C5C">
        <w:rPr>
          <w:rFonts w:ascii="Arial" w:hAnsi="Arial" w:cs="Arial"/>
          <w:iCs/>
          <w:sz w:val="22"/>
          <w:szCs w:val="22"/>
        </w:rPr>
        <w:t>i</w:t>
      </w:r>
      <w:r>
        <w:rPr>
          <w:rFonts w:ascii="Arial" w:hAnsi="Arial" w:cs="Arial"/>
          <w:iCs/>
          <w:sz w:val="22"/>
          <w:szCs w:val="22"/>
        </w:rPr>
        <w:t xml:space="preserve"> </w:t>
      </w:r>
      <w:r w:rsidRPr="008B74D3">
        <w:rPr>
          <w:rFonts w:ascii="Arial" w:hAnsi="Arial" w:cs="Arial"/>
          <w:iCs/>
          <w:sz w:val="22"/>
          <w:szCs w:val="22"/>
        </w:rPr>
        <w:t>cittadini stranieri</w:t>
      </w:r>
      <w:r>
        <w:rPr>
          <w:rFonts w:ascii="Arial" w:hAnsi="Arial" w:cs="Arial"/>
          <w:iCs/>
          <w:sz w:val="22"/>
          <w:szCs w:val="22"/>
        </w:rPr>
        <w:t xml:space="preserve"> (+13%)</w:t>
      </w:r>
      <w:r w:rsidR="008D0FA3">
        <w:rPr>
          <w:rFonts w:ascii="Arial" w:hAnsi="Arial" w:cs="Arial"/>
          <w:iCs/>
          <w:sz w:val="22"/>
          <w:szCs w:val="22"/>
        </w:rPr>
        <w:t>. I</w:t>
      </w:r>
      <w:r w:rsidRPr="008B74D3">
        <w:rPr>
          <w:rFonts w:ascii="Arial" w:hAnsi="Arial" w:cs="Arial"/>
          <w:iCs/>
          <w:sz w:val="22"/>
          <w:szCs w:val="22"/>
        </w:rPr>
        <w:t xml:space="preserve"> rimpatri degli italiani hanno subito una flessione del 23,6%.</w:t>
      </w:r>
      <w:r w:rsidR="008C43D3">
        <w:rPr>
          <w:rFonts w:ascii="Arial" w:hAnsi="Arial" w:cs="Arial"/>
          <w:iCs/>
          <w:sz w:val="22"/>
          <w:szCs w:val="22"/>
        </w:rPr>
        <w:t xml:space="preserve"> </w:t>
      </w:r>
      <w:bookmarkStart w:id="3" w:name="_Hlk198225616"/>
    </w:p>
    <w:p w14:paraId="5FF3B45A" w14:textId="3AFFE64E" w:rsidR="00554C5C" w:rsidRDefault="008D0FA3" w:rsidP="00554C5C">
      <w:pPr>
        <w:spacing w:after="120"/>
        <w:jc w:val="both"/>
        <w:rPr>
          <w:rFonts w:ascii="Arial" w:hAnsi="Arial" w:cs="Arial"/>
          <w:iCs/>
          <w:sz w:val="22"/>
          <w:szCs w:val="22"/>
        </w:rPr>
      </w:pPr>
      <w:r>
        <w:rPr>
          <w:rFonts w:ascii="Arial" w:hAnsi="Arial" w:cs="Arial"/>
          <w:iCs/>
          <w:sz w:val="22"/>
          <w:szCs w:val="22"/>
        </w:rPr>
        <w:t>I</w:t>
      </w:r>
      <w:r w:rsidR="00554C5C" w:rsidRPr="00554C5C">
        <w:rPr>
          <w:rFonts w:ascii="Arial" w:hAnsi="Arial" w:cs="Arial"/>
          <w:iCs/>
          <w:sz w:val="22"/>
          <w:szCs w:val="22"/>
        </w:rPr>
        <w:t xml:space="preserve"> flussi migratori </w:t>
      </w:r>
      <w:r>
        <w:rPr>
          <w:rFonts w:ascii="Arial" w:hAnsi="Arial" w:cs="Arial"/>
          <w:iCs/>
          <w:sz w:val="22"/>
          <w:szCs w:val="22"/>
        </w:rPr>
        <w:t xml:space="preserve">degli stranieri </w:t>
      </w:r>
      <w:r w:rsidR="00554C5C" w:rsidRPr="00554C5C">
        <w:rPr>
          <w:rFonts w:ascii="Arial" w:hAnsi="Arial" w:cs="Arial"/>
          <w:iCs/>
          <w:sz w:val="22"/>
          <w:szCs w:val="22"/>
        </w:rPr>
        <w:t>hanno superato i livelli registrati prima della pandemia. Dopo il record storico del 2017 (301mila ingressi), dovuto anche alla rilevante presenza di richiedenti asilo e protezione umanitaria</w:t>
      </w:r>
      <w:r w:rsidR="0060731B">
        <w:rPr>
          <w:rFonts w:ascii="Arial" w:hAnsi="Arial" w:cs="Arial"/>
          <w:iCs/>
          <w:sz w:val="22"/>
          <w:szCs w:val="22"/>
        </w:rPr>
        <w:t xml:space="preserve"> tra gli arrivi</w:t>
      </w:r>
      <w:r w:rsidR="007866A0">
        <w:rPr>
          <w:rFonts w:ascii="Arial" w:hAnsi="Arial" w:cs="Arial"/>
          <w:iCs/>
          <w:sz w:val="22"/>
          <w:szCs w:val="22"/>
        </w:rPr>
        <w:t xml:space="preserve"> (i permessi </w:t>
      </w:r>
      <w:r w:rsidR="008E3B4D">
        <w:rPr>
          <w:rFonts w:ascii="Arial" w:hAnsi="Arial" w:cs="Arial"/>
          <w:iCs/>
          <w:sz w:val="22"/>
          <w:szCs w:val="22"/>
        </w:rPr>
        <w:t xml:space="preserve">di soggiorno </w:t>
      </w:r>
      <w:r w:rsidR="007866A0">
        <w:rPr>
          <w:rFonts w:ascii="Arial" w:hAnsi="Arial" w:cs="Arial"/>
          <w:iCs/>
          <w:sz w:val="22"/>
          <w:szCs w:val="22"/>
        </w:rPr>
        <w:t>per protezione internazionale in quell’anno superarono le 100mila unità</w:t>
      </w:r>
      <w:r w:rsidR="008E3B4D">
        <w:rPr>
          <w:rFonts w:ascii="Arial" w:hAnsi="Arial" w:cs="Arial"/>
          <w:iCs/>
          <w:sz w:val="22"/>
          <w:szCs w:val="22"/>
        </w:rPr>
        <w:t>,</w:t>
      </w:r>
      <w:r w:rsidR="008E3B4D" w:rsidRPr="008E3B4D">
        <w:rPr>
          <w:rFonts w:ascii="Arial" w:hAnsi="Arial" w:cs="Arial"/>
          <w:iCs/>
          <w:sz w:val="22"/>
          <w:szCs w:val="22"/>
        </w:rPr>
        <w:t xml:space="preserve"> </w:t>
      </w:r>
      <w:r w:rsidR="008E3B4D">
        <w:rPr>
          <w:rFonts w:ascii="Arial" w:hAnsi="Arial" w:cs="Arial"/>
          <w:iCs/>
          <w:sz w:val="22"/>
          <w:szCs w:val="22"/>
        </w:rPr>
        <w:t>un dato che si riflette sulle iscrizioni anagrafiche dall’estero</w:t>
      </w:r>
      <w:r w:rsidR="007866A0">
        <w:rPr>
          <w:rFonts w:ascii="Arial" w:hAnsi="Arial" w:cs="Arial"/>
          <w:iCs/>
          <w:sz w:val="22"/>
          <w:szCs w:val="22"/>
        </w:rPr>
        <w:t>),</w:t>
      </w:r>
      <w:r w:rsidR="00554C5C" w:rsidRPr="00554C5C">
        <w:rPr>
          <w:rFonts w:ascii="Arial" w:hAnsi="Arial" w:cs="Arial"/>
          <w:iCs/>
          <w:sz w:val="22"/>
          <w:szCs w:val="22"/>
        </w:rPr>
        <w:t xml:space="preserve"> il numero di ingressi è diminuito progressivamente fino a stabilizzarsi su una media annua di circa 270mila </w:t>
      </w:r>
      <w:r w:rsidR="00503C42">
        <w:rPr>
          <w:rFonts w:ascii="Arial" w:hAnsi="Arial" w:cs="Arial"/>
          <w:iCs/>
          <w:sz w:val="22"/>
          <w:szCs w:val="22"/>
        </w:rPr>
        <w:t>nel biennio 2018-19</w:t>
      </w:r>
      <w:r w:rsidR="00554C5C" w:rsidRPr="00554C5C">
        <w:rPr>
          <w:rFonts w:ascii="Arial" w:hAnsi="Arial" w:cs="Arial"/>
          <w:iCs/>
          <w:sz w:val="22"/>
          <w:szCs w:val="22"/>
        </w:rPr>
        <w:t xml:space="preserve">. </w:t>
      </w:r>
      <w:r w:rsidR="00AB6E4A">
        <w:rPr>
          <w:rFonts w:ascii="Arial" w:hAnsi="Arial" w:cs="Arial"/>
          <w:iCs/>
          <w:sz w:val="22"/>
          <w:szCs w:val="22"/>
        </w:rPr>
        <w:t>Nel 2020</w:t>
      </w:r>
      <w:r w:rsidR="00554C5C" w:rsidRPr="00554C5C">
        <w:rPr>
          <w:rFonts w:ascii="Arial" w:hAnsi="Arial" w:cs="Arial"/>
          <w:iCs/>
          <w:sz w:val="22"/>
          <w:szCs w:val="22"/>
        </w:rPr>
        <w:t xml:space="preserve"> le misure di contenimento della pandemia hanno determinato un crollo significativo dei flussi </w:t>
      </w:r>
      <w:r w:rsidRPr="00554C5C">
        <w:rPr>
          <w:rFonts w:ascii="Arial" w:hAnsi="Arial" w:cs="Arial"/>
          <w:iCs/>
          <w:sz w:val="22"/>
          <w:szCs w:val="22"/>
        </w:rPr>
        <w:t>migratori d</w:t>
      </w:r>
      <w:r>
        <w:rPr>
          <w:rFonts w:ascii="Arial" w:hAnsi="Arial" w:cs="Arial"/>
          <w:iCs/>
          <w:sz w:val="22"/>
          <w:szCs w:val="22"/>
        </w:rPr>
        <w:t>e</w:t>
      </w:r>
      <w:r w:rsidRPr="00554C5C">
        <w:rPr>
          <w:rFonts w:ascii="Arial" w:hAnsi="Arial" w:cs="Arial"/>
          <w:iCs/>
          <w:sz w:val="22"/>
          <w:szCs w:val="22"/>
        </w:rPr>
        <w:t xml:space="preserve">i cittadini stranieri </w:t>
      </w:r>
      <w:r w:rsidR="00554C5C" w:rsidRPr="00554C5C">
        <w:rPr>
          <w:rFonts w:ascii="Arial" w:hAnsi="Arial" w:cs="Arial"/>
          <w:iCs/>
          <w:sz w:val="22"/>
          <w:szCs w:val="22"/>
        </w:rPr>
        <w:t>(192mila ingressi)</w:t>
      </w:r>
      <w:r>
        <w:rPr>
          <w:rFonts w:ascii="Arial" w:hAnsi="Arial" w:cs="Arial"/>
          <w:iCs/>
          <w:sz w:val="22"/>
          <w:szCs w:val="22"/>
        </w:rPr>
        <w:t xml:space="preserve"> che, n</w:t>
      </w:r>
      <w:r w:rsidR="008E3B4D">
        <w:rPr>
          <w:rFonts w:ascii="Arial" w:hAnsi="Arial" w:cs="Arial"/>
          <w:iCs/>
          <w:sz w:val="22"/>
          <w:szCs w:val="22"/>
        </w:rPr>
        <w:t>el 2021</w:t>
      </w:r>
      <w:r w:rsidR="00554C5C" w:rsidRPr="00554C5C">
        <w:rPr>
          <w:rFonts w:ascii="Arial" w:hAnsi="Arial" w:cs="Arial"/>
          <w:iCs/>
          <w:sz w:val="22"/>
          <w:szCs w:val="22"/>
        </w:rPr>
        <w:t xml:space="preserve"> hanno ripreso a crescere</w:t>
      </w:r>
      <w:r>
        <w:rPr>
          <w:rFonts w:ascii="Arial" w:hAnsi="Arial" w:cs="Arial"/>
          <w:iCs/>
          <w:sz w:val="22"/>
          <w:szCs w:val="22"/>
        </w:rPr>
        <w:t>. D</w:t>
      </w:r>
      <w:r w:rsidR="008E3B4D">
        <w:rPr>
          <w:rFonts w:ascii="Arial" w:hAnsi="Arial" w:cs="Arial"/>
          <w:iCs/>
          <w:sz w:val="22"/>
          <w:szCs w:val="22"/>
        </w:rPr>
        <w:t xml:space="preserve">al 2022 le ondate migratorie dettate da nuove emergenze umanitarie (in quell’anno i permessi di soggiorno per protezione internazionale sono stati 203mila e106mila nel 2023) hanno contribuito a </w:t>
      </w:r>
      <w:r w:rsidR="00554C5C" w:rsidRPr="00554C5C">
        <w:rPr>
          <w:rFonts w:ascii="Arial" w:hAnsi="Arial" w:cs="Arial"/>
          <w:iCs/>
          <w:sz w:val="22"/>
          <w:szCs w:val="22"/>
        </w:rPr>
        <w:t>stabil</w:t>
      </w:r>
      <w:r w:rsidR="008E3B4D">
        <w:rPr>
          <w:rFonts w:ascii="Arial" w:hAnsi="Arial" w:cs="Arial"/>
          <w:iCs/>
          <w:sz w:val="22"/>
          <w:szCs w:val="22"/>
        </w:rPr>
        <w:t xml:space="preserve">ire </w:t>
      </w:r>
      <w:r w:rsidR="00554C5C" w:rsidRPr="00554C5C">
        <w:rPr>
          <w:rFonts w:ascii="Arial" w:hAnsi="Arial" w:cs="Arial"/>
          <w:iCs/>
          <w:sz w:val="22"/>
          <w:szCs w:val="22"/>
        </w:rPr>
        <w:t>nuovi record</w:t>
      </w:r>
      <w:r w:rsidR="008C43D3">
        <w:rPr>
          <w:rFonts w:ascii="Arial" w:hAnsi="Arial" w:cs="Arial"/>
          <w:iCs/>
          <w:sz w:val="22"/>
          <w:szCs w:val="22"/>
        </w:rPr>
        <w:t>,</w:t>
      </w:r>
      <w:r w:rsidR="00554C5C">
        <w:rPr>
          <w:rFonts w:ascii="Arial" w:hAnsi="Arial" w:cs="Arial"/>
          <w:iCs/>
          <w:sz w:val="22"/>
          <w:szCs w:val="22"/>
        </w:rPr>
        <w:t xml:space="preserve"> </w:t>
      </w:r>
      <w:r w:rsidR="00554C5C" w:rsidRPr="00554C5C">
        <w:rPr>
          <w:rFonts w:ascii="Arial" w:hAnsi="Arial" w:cs="Arial"/>
          <w:iCs/>
          <w:sz w:val="22"/>
          <w:szCs w:val="22"/>
        </w:rPr>
        <w:t>con 378mila ingressi nel 2023 e 382mila nel 2024.</w:t>
      </w:r>
      <w:r w:rsidR="008E3B4D">
        <w:rPr>
          <w:rFonts w:ascii="Arial" w:hAnsi="Arial" w:cs="Arial"/>
          <w:iCs/>
          <w:sz w:val="22"/>
          <w:szCs w:val="22"/>
        </w:rPr>
        <w:t xml:space="preserve"> </w:t>
      </w:r>
    </w:p>
    <w:bookmarkEnd w:id="3"/>
    <w:p w14:paraId="27909250" w14:textId="64B3A8F9" w:rsidR="00992AA8" w:rsidRDefault="00992AA8" w:rsidP="00992AA8">
      <w:pPr>
        <w:spacing w:after="120"/>
        <w:jc w:val="both"/>
        <w:rPr>
          <w:rFonts w:ascii="Arial" w:hAnsi="Arial" w:cs="Arial"/>
          <w:iCs/>
          <w:sz w:val="22"/>
          <w:szCs w:val="22"/>
        </w:rPr>
      </w:pPr>
      <w:r w:rsidRPr="00992AA8">
        <w:rPr>
          <w:rFonts w:ascii="Arial" w:hAnsi="Arial" w:cs="Arial"/>
          <w:iCs/>
          <w:sz w:val="22"/>
          <w:szCs w:val="22"/>
        </w:rPr>
        <w:t>L</w:t>
      </w:r>
      <w:r w:rsidR="008C43D3">
        <w:rPr>
          <w:rFonts w:ascii="Arial" w:hAnsi="Arial" w:cs="Arial"/>
          <w:iCs/>
          <w:sz w:val="22"/>
          <w:szCs w:val="22"/>
        </w:rPr>
        <w:t xml:space="preserve">’incremento </w:t>
      </w:r>
      <w:r w:rsidR="008D0FA3" w:rsidRPr="00992AA8">
        <w:rPr>
          <w:rFonts w:ascii="Arial" w:hAnsi="Arial" w:cs="Arial"/>
          <w:iCs/>
          <w:sz w:val="22"/>
          <w:szCs w:val="22"/>
        </w:rPr>
        <w:t xml:space="preserve">2023-24 </w:t>
      </w:r>
      <w:r w:rsidRPr="00992AA8">
        <w:rPr>
          <w:rFonts w:ascii="Arial" w:hAnsi="Arial" w:cs="Arial"/>
          <w:iCs/>
          <w:sz w:val="22"/>
          <w:szCs w:val="22"/>
        </w:rPr>
        <w:t xml:space="preserve">degli ingressi </w:t>
      </w:r>
      <w:r w:rsidR="00AB6E4A">
        <w:rPr>
          <w:rFonts w:ascii="Arial" w:hAnsi="Arial" w:cs="Arial"/>
          <w:iCs/>
          <w:sz w:val="22"/>
          <w:szCs w:val="22"/>
        </w:rPr>
        <w:t xml:space="preserve">dei cittadini </w:t>
      </w:r>
      <w:r w:rsidRPr="00992AA8">
        <w:rPr>
          <w:rFonts w:ascii="Arial" w:hAnsi="Arial" w:cs="Arial"/>
          <w:iCs/>
          <w:sz w:val="22"/>
          <w:szCs w:val="22"/>
        </w:rPr>
        <w:t xml:space="preserve">stranieri rispetto al 2022 si riscontra </w:t>
      </w:r>
      <w:r w:rsidR="007A50FE">
        <w:rPr>
          <w:rFonts w:ascii="Arial" w:hAnsi="Arial" w:cs="Arial"/>
          <w:iCs/>
          <w:sz w:val="22"/>
          <w:szCs w:val="22"/>
        </w:rPr>
        <w:t>per</w:t>
      </w:r>
      <w:r w:rsidRPr="00992AA8">
        <w:rPr>
          <w:rFonts w:ascii="Arial" w:hAnsi="Arial" w:cs="Arial"/>
          <w:iCs/>
          <w:sz w:val="22"/>
          <w:szCs w:val="22"/>
        </w:rPr>
        <w:t xml:space="preserve"> quasi tutte le aree di origine, ad eccezione dell’Europa</w:t>
      </w:r>
      <w:r w:rsidR="008D0FA3">
        <w:rPr>
          <w:rFonts w:ascii="Arial" w:hAnsi="Arial" w:cs="Arial"/>
          <w:iCs/>
          <w:sz w:val="22"/>
          <w:szCs w:val="22"/>
        </w:rPr>
        <w:t xml:space="preserve"> (-</w:t>
      </w:r>
      <w:r w:rsidRPr="00992AA8">
        <w:rPr>
          <w:rFonts w:ascii="Arial" w:hAnsi="Arial" w:cs="Arial"/>
          <w:iCs/>
          <w:sz w:val="22"/>
          <w:szCs w:val="22"/>
        </w:rPr>
        <w:t>6%</w:t>
      </w:r>
      <w:r w:rsidR="008D0FA3">
        <w:rPr>
          <w:rFonts w:ascii="Arial" w:hAnsi="Arial" w:cs="Arial"/>
          <w:iCs/>
          <w:sz w:val="22"/>
          <w:szCs w:val="22"/>
        </w:rPr>
        <w:t>)</w:t>
      </w:r>
      <w:r w:rsidRPr="00992AA8">
        <w:rPr>
          <w:rFonts w:ascii="Arial" w:hAnsi="Arial" w:cs="Arial"/>
          <w:iCs/>
          <w:sz w:val="22"/>
          <w:szCs w:val="22"/>
        </w:rPr>
        <w:t xml:space="preserve">, con una contrazione più marcata </w:t>
      </w:r>
      <w:r w:rsidR="0060731B">
        <w:rPr>
          <w:rFonts w:ascii="Arial" w:hAnsi="Arial" w:cs="Arial"/>
          <w:iCs/>
          <w:sz w:val="22"/>
          <w:szCs w:val="22"/>
        </w:rPr>
        <w:t xml:space="preserve">tra </w:t>
      </w:r>
      <w:r w:rsidRPr="00992AA8">
        <w:rPr>
          <w:rFonts w:ascii="Arial" w:hAnsi="Arial" w:cs="Arial"/>
          <w:iCs/>
          <w:sz w:val="22"/>
          <w:szCs w:val="22"/>
        </w:rPr>
        <w:t>i paesi dell’Unione Europea (-12,6</w:t>
      </w:r>
      <w:r w:rsidR="007A50FE">
        <w:rPr>
          <w:rFonts w:ascii="Arial" w:hAnsi="Arial" w:cs="Arial"/>
          <w:iCs/>
          <w:sz w:val="22"/>
          <w:szCs w:val="22"/>
        </w:rPr>
        <w:t xml:space="preserve">%). </w:t>
      </w:r>
      <w:r w:rsidRPr="00992AA8">
        <w:rPr>
          <w:rFonts w:ascii="Arial" w:hAnsi="Arial" w:cs="Arial"/>
          <w:iCs/>
          <w:sz w:val="22"/>
          <w:szCs w:val="22"/>
        </w:rPr>
        <w:t>Gli aumenti più significativi riguardano i flussi provenienti dall’Africa (+43,9%), segu</w:t>
      </w:r>
      <w:r w:rsidR="008D0FA3">
        <w:rPr>
          <w:rFonts w:ascii="Arial" w:hAnsi="Arial" w:cs="Arial"/>
          <w:iCs/>
          <w:sz w:val="22"/>
          <w:szCs w:val="22"/>
        </w:rPr>
        <w:t xml:space="preserve">ono </w:t>
      </w:r>
      <w:r w:rsidRPr="00992AA8">
        <w:rPr>
          <w:rFonts w:ascii="Arial" w:hAnsi="Arial" w:cs="Arial"/>
          <w:iCs/>
          <w:sz w:val="22"/>
          <w:szCs w:val="22"/>
        </w:rPr>
        <w:t>America e Oceania (+18,5% complessivamente) e Asia (+12,5%)</w:t>
      </w:r>
      <w:r w:rsidR="0060731B">
        <w:rPr>
          <w:rFonts w:ascii="Arial" w:hAnsi="Arial" w:cs="Arial"/>
          <w:iCs/>
          <w:sz w:val="22"/>
          <w:szCs w:val="22"/>
        </w:rPr>
        <w:t xml:space="preserve">. </w:t>
      </w:r>
      <w:r w:rsidR="008D0FA3">
        <w:rPr>
          <w:rFonts w:ascii="Arial" w:hAnsi="Arial" w:cs="Arial"/>
          <w:iCs/>
          <w:sz w:val="22"/>
          <w:szCs w:val="22"/>
        </w:rPr>
        <w:t>Questi n</w:t>
      </w:r>
      <w:r w:rsidR="0060731B">
        <w:rPr>
          <w:rFonts w:ascii="Arial" w:hAnsi="Arial" w:cs="Arial"/>
          <w:iCs/>
          <w:sz w:val="22"/>
          <w:szCs w:val="22"/>
        </w:rPr>
        <w:t>umeri</w:t>
      </w:r>
      <w:r>
        <w:rPr>
          <w:rFonts w:ascii="Arial" w:hAnsi="Arial" w:cs="Arial"/>
          <w:iCs/>
          <w:sz w:val="22"/>
          <w:szCs w:val="22"/>
        </w:rPr>
        <w:t xml:space="preserve"> mettono in </w:t>
      </w:r>
      <w:r w:rsidRPr="00992AA8">
        <w:rPr>
          <w:rFonts w:ascii="Arial" w:hAnsi="Arial" w:cs="Arial"/>
          <w:iCs/>
          <w:sz w:val="22"/>
          <w:szCs w:val="22"/>
        </w:rPr>
        <w:t xml:space="preserve">evidenza una trasformazione nei flussi migratori, con un aumento delle migrazioni da aree geografiche tradizionalmente meno rappresentate </w:t>
      </w:r>
      <w:r w:rsidR="007A50FE">
        <w:rPr>
          <w:rFonts w:ascii="Arial" w:hAnsi="Arial" w:cs="Arial"/>
          <w:iCs/>
          <w:sz w:val="22"/>
          <w:szCs w:val="22"/>
        </w:rPr>
        <w:t>nel</w:t>
      </w:r>
      <w:r w:rsidRPr="00992AA8">
        <w:rPr>
          <w:rFonts w:ascii="Arial" w:hAnsi="Arial" w:cs="Arial"/>
          <w:iCs/>
          <w:sz w:val="22"/>
          <w:szCs w:val="22"/>
        </w:rPr>
        <w:t xml:space="preserve"> periodo pre-pandemico.</w:t>
      </w:r>
      <w:r w:rsidR="00E32540">
        <w:rPr>
          <w:rFonts w:ascii="Arial" w:hAnsi="Arial" w:cs="Arial"/>
          <w:iCs/>
          <w:sz w:val="22"/>
          <w:szCs w:val="22"/>
        </w:rPr>
        <w:t xml:space="preserve"> </w:t>
      </w:r>
      <w:r w:rsidR="00D34E7B">
        <w:rPr>
          <w:rFonts w:ascii="Arial" w:hAnsi="Arial" w:cs="Arial"/>
          <w:iCs/>
          <w:sz w:val="22"/>
          <w:szCs w:val="22"/>
        </w:rPr>
        <w:t xml:space="preserve">Nel dettaglio dei </w:t>
      </w:r>
      <w:r w:rsidR="0060731B">
        <w:rPr>
          <w:rFonts w:ascii="Arial" w:hAnsi="Arial" w:cs="Arial"/>
          <w:iCs/>
          <w:sz w:val="22"/>
          <w:szCs w:val="22"/>
        </w:rPr>
        <w:t xml:space="preserve">Paesi </w:t>
      </w:r>
      <w:r w:rsidR="0088190B">
        <w:rPr>
          <w:rFonts w:ascii="Arial" w:hAnsi="Arial" w:cs="Arial"/>
          <w:iCs/>
          <w:sz w:val="22"/>
          <w:szCs w:val="22"/>
        </w:rPr>
        <w:t>europei</w:t>
      </w:r>
      <w:r w:rsidR="00687976">
        <w:rPr>
          <w:rFonts w:ascii="Arial" w:hAnsi="Arial" w:cs="Arial"/>
          <w:iCs/>
          <w:sz w:val="22"/>
          <w:szCs w:val="22"/>
        </w:rPr>
        <w:t xml:space="preserve">, si osserva una contrazione dei flussi provenienti dall’Ucraina (-2,7%), </w:t>
      </w:r>
      <w:r w:rsidR="00087545">
        <w:rPr>
          <w:rFonts w:ascii="Arial" w:hAnsi="Arial" w:cs="Arial"/>
          <w:iCs/>
          <w:sz w:val="22"/>
          <w:szCs w:val="22"/>
        </w:rPr>
        <w:t xml:space="preserve">dal 2022 </w:t>
      </w:r>
      <w:r w:rsidR="000664AE">
        <w:rPr>
          <w:rFonts w:ascii="Arial" w:hAnsi="Arial" w:cs="Arial"/>
          <w:iCs/>
          <w:sz w:val="22"/>
          <w:szCs w:val="22"/>
        </w:rPr>
        <w:t>protagonista di un significativo</w:t>
      </w:r>
      <w:r w:rsidR="00087545">
        <w:rPr>
          <w:rFonts w:ascii="Arial" w:hAnsi="Arial" w:cs="Arial"/>
          <w:iCs/>
          <w:sz w:val="22"/>
          <w:szCs w:val="22"/>
        </w:rPr>
        <w:t xml:space="preserve"> aumento</w:t>
      </w:r>
      <w:r w:rsidR="000664AE">
        <w:rPr>
          <w:rFonts w:ascii="Arial" w:hAnsi="Arial" w:cs="Arial"/>
          <w:iCs/>
          <w:sz w:val="22"/>
          <w:szCs w:val="22"/>
        </w:rPr>
        <w:t xml:space="preserve"> legato a</w:t>
      </w:r>
      <w:r w:rsidRPr="00992AA8">
        <w:rPr>
          <w:rFonts w:ascii="Arial" w:hAnsi="Arial" w:cs="Arial"/>
          <w:iCs/>
          <w:sz w:val="22"/>
          <w:szCs w:val="22"/>
        </w:rPr>
        <w:t xml:space="preserve">ll'emergenza umanitaria </w:t>
      </w:r>
      <w:r w:rsidR="008D0FA3">
        <w:rPr>
          <w:rFonts w:ascii="Arial" w:hAnsi="Arial" w:cs="Arial"/>
          <w:iCs/>
          <w:sz w:val="22"/>
          <w:szCs w:val="22"/>
        </w:rPr>
        <w:t xml:space="preserve">dovuta </w:t>
      </w:r>
      <w:r w:rsidRPr="00992AA8">
        <w:rPr>
          <w:rFonts w:ascii="Arial" w:hAnsi="Arial" w:cs="Arial"/>
          <w:iCs/>
          <w:sz w:val="22"/>
          <w:szCs w:val="22"/>
        </w:rPr>
        <w:t>al conflitto</w:t>
      </w:r>
      <w:r w:rsidR="00160D0C">
        <w:rPr>
          <w:rFonts w:ascii="Arial" w:hAnsi="Arial" w:cs="Arial"/>
          <w:iCs/>
          <w:sz w:val="22"/>
          <w:szCs w:val="22"/>
        </w:rPr>
        <w:t xml:space="preserve"> tuttora</w:t>
      </w:r>
      <w:r w:rsidRPr="00992AA8">
        <w:rPr>
          <w:rFonts w:ascii="Arial" w:hAnsi="Arial" w:cs="Arial"/>
          <w:iCs/>
          <w:sz w:val="22"/>
          <w:szCs w:val="22"/>
        </w:rPr>
        <w:t xml:space="preserve"> in corso</w:t>
      </w:r>
      <w:r w:rsidR="00687976">
        <w:rPr>
          <w:rFonts w:ascii="Arial" w:hAnsi="Arial" w:cs="Arial"/>
          <w:iCs/>
          <w:sz w:val="22"/>
          <w:szCs w:val="22"/>
        </w:rPr>
        <w:t xml:space="preserve">. Nonostante il </w:t>
      </w:r>
      <w:r w:rsidR="00160D0C">
        <w:rPr>
          <w:rFonts w:ascii="Arial" w:hAnsi="Arial" w:cs="Arial"/>
          <w:iCs/>
          <w:sz w:val="22"/>
          <w:szCs w:val="22"/>
        </w:rPr>
        <w:t xml:space="preserve">lieve </w:t>
      </w:r>
      <w:r w:rsidR="00687976">
        <w:rPr>
          <w:rFonts w:ascii="Arial" w:hAnsi="Arial" w:cs="Arial"/>
          <w:iCs/>
          <w:sz w:val="22"/>
          <w:szCs w:val="22"/>
        </w:rPr>
        <w:t xml:space="preserve">calo, </w:t>
      </w:r>
      <w:r w:rsidRPr="00992AA8">
        <w:rPr>
          <w:rFonts w:ascii="Arial" w:hAnsi="Arial" w:cs="Arial"/>
          <w:iCs/>
          <w:sz w:val="22"/>
          <w:szCs w:val="22"/>
        </w:rPr>
        <w:t xml:space="preserve">l’Ucraina rimane il principale </w:t>
      </w:r>
      <w:r w:rsidR="0060731B">
        <w:rPr>
          <w:rFonts w:ascii="Arial" w:hAnsi="Arial" w:cs="Arial"/>
          <w:iCs/>
          <w:sz w:val="22"/>
          <w:szCs w:val="22"/>
        </w:rPr>
        <w:t>P</w:t>
      </w:r>
      <w:r w:rsidR="0060731B" w:rsidRPr="00992AA8">
        <w:rPr>
          <w:rFonts w:ascii="Arial" w:hAnsi="Arial" w:cs="Arial"/>
          <w:iCs/>
          <w:sz w:val="22"/>
          <w:szCs w:val="22"/>
        </w:rPr>
        <w:t xml:space="preserve">aese </w:t>
      </w:r>
      <w:r w:rsidRPr="00992AA8">
        <w:rPr>
          <w:rFonts w:ascii="Arial" w:hAnsi="Arial" w:cs="Arial"/>
          <w:iCs/>
          <w:sz w:val="22"/>
          <w:szCs w:val="22"/>
        </w:rPr>
        <w:t xml:space="preserve">di origine dei flussi migratori anche nel biennio 2023-24, con una media di </w:t>
      </w:r>
      <w:r w:rsidR="00882DF1">
        <w:rPr>
          <w:rFonts w:ascii="Arial" w:hAnsi="Arial" w:cs="Arial"/>
          <w:iCs/>
          <w:sz w:val="22"/>
          <w:szCs w:val="22"/>
        </w:rPr>
        <w:t xml:space="preserve">oltre </w:t>
      </w:r>
      <w:r w:rsidR="000664AE">
        <w:rPr>
          <w:rFonts w:ascii="Arial" w:hAnsi="Arial" w:cs="Arial"/>
          <w:iCs/>
          <w:sz w:val="22"/>
          <w:szCs w:val="22"/>
        </w:rPr>
        <w:t>29</w:t>
      </w:r>
      <w:r>
        <w:rPr>
          <w:rFonts w:ascii="Arial" w:hAnsi="Arial" w:cs="Arial"/>
          <w:iCs/>
          <w:sz w:val="22"/>
          <w:szCs w:val="22"/>
        </w:rPr>
        <w:t>mila</w:t>
      </w:r>
      <w:r w:rsidRPr="00992AA8">
        <w:rPr>
          <w:rFonts w:ascii="Arial" w:hAnsi="Arial" w:cs="Arial"/>
          <w:iCs/>
          <w:sz w:val="22"/>
          <w:szCs w:val="22"/>
        </w:rPr>
        <w:t xml:space="preserve"> ingressi annuali, seguita dall'Albania (</w:t>
      </w:r>
      <w:r w:rsidR="00882DF1">
        <w:rPr>
          <w:rFonts w:ascii="Arial" w:hAnsi="Arial" w:cs="Arial"/>
          <w:iCs/>
          <w:sz w:val="22"/>
          <w:szCs w:val="22"/>
        </w:rPr>
        <w:t xml:space="preserve">oltre </w:t>
      </w:r>
      <w:r w:rsidRPr="00992AA8">
        <w:rPr>
          <w:rFonts w:ascii="Arial" w:hAnsi="Arial" w:cs="Arial"/>
          <w:iCs/>
          <w:sz w:val="22"/>
          <w:szCs w:val="22"/>
        </w:rPr>
        <w:t>2</w:t>
      </w:r>
      <w:r w:rsidR="000664AE">
        <w:rPr>
          <w:rFonts w:ascii="Arial" w:hAnsi="Arial" w:cs="Arial"/>
          <w:iCs/>
          <w:sz w:val="22"/>
          <w:szCs w:val="22"/>
        </w:rPr>
        <w:t>8</w:t>
      </w:r>
      <w:r>
        <w:rPr>
          <w:rFonts w:ascii="Arial" w:hAnsi="Arial" w:cs="Arial"/>
          <w:iCs/>
          <w:sz w:val="22"/>
          <w:szCs w:val="22"/>
        </w:rPr>
        <w:t>mila</w:t>
      </w:r>
      <w:r w:rsidRPr="00992AA8">
        <w:rPr>
          <w:rFonts w:ascii="Arial" w:hAnsi="Arial" w:cs="Arial"/>
          <w:iCs/>
          <w:sz w:val="22"/>
          <w:szCs w:val="22"/>
        </w:rPr>
        <w:t xml:space="preserve"> ingressi l’anno, -2,4%).</w:t>
      </w:r>
      <w:r w:rsidR="00687976">
        <w:rPr>
          <w:rFonts w:ascii="Arial" w:hAnsi="Arial" w:cs="Arial"/>
          <w:iCs/>
          <w:sz w:val="22"/>
          <w:szCs w:val="22"/>
        </w:rPr>
        <w:t xml:space="preserve"> Tra i </w:t>
      </w:r>
      <w:r w:rsidR="0060731B">
        <w:rPr>
          <w:rFonts w:ascii="Arial" w:hAnsi="Arial" w:cs="Arial"/>
          <w:iCs/>
          <w:sz w:val="22"/>
          <w:szCs w:val="22"/>
        </w:rPr>
        <w:t xml:space="preserve">Paesi </w:t>
      </w:r>
      <w:r>
        <w:rPr>
          <w:rFonts w:ascii="Arial" w:hAnsi="Arial" w:cs="Arial"/>
          <w:iCs/>
          <w:sz w:val="22"/>
          <w:szCs w:val="22"/>
        </w:rPr>
        <w:t xml:space="preserve">dell’Unione </w:t>
      </w:r>
      <w:r w:rsidR="00687976">
        <w:rPr>
          <w:rFonts w:ascii="Arial" w:hAnsi="Arial" w:cs="Arial"/>
          <w:iCs/>
          <w:sz w:val="22"/>
          <w:szCs w:val="22"/>
        </w:rPr>
        <w:t>europe</w:t>
      </w:r>
      <w:r>
        <w:rPr>
          <w:rFonts w:ascii="Arial" w:hAnsi="Arial" w:cs="Arial"/>
          <w:iCs/>
          <w:sz w:val="22"/>
          <w:szCs w:val="22"/>
        </w:rPr>
        <w:t>a</w:t>
      </w:r>
      <w:r w:rsidR="00E43E46">
        <w:rPr>
          <w:rFonts w:ascii="Arial" w:hAnsi="Arial" w:cs="Arial"/>
          <w:iCs/>
          <w:sz w:val="22"/>
          <w:szCs w:val="22"/>
        </w:rPr>
        <w:t xml:space="preserve"> </w:t>
      </w:r>
      <w:r w:rsidRPr="00992AA8">
        <w:rPr>
          <w:rFonts w:ascii="Arial" w:hAnsi="Arial" w:cs="Arial"/>
          <w:iCs/>
          <w:sz w:val="22"/>
          <w:szCs w:val="22"/>
        </w:rPr>
        <w:t xml:space="preserve">il calo più </w:t>
      </w:r>
      <w:r w:rsidR="00B21F32">
        <w:rPr>
          <w:rFonts w:ascii="Arial" w:hAnsi="Arial" w:cs="Arial"/>
          <w:iCs/>
          <w:sz w:val="22"/>
          <w:szCs w:val="22"/>
        </w:rPr>
        <w:t>consistente</w:t>
      </w:r>
      <w:r w:rsidRPr="00992AA8">
        <w:rPr>
          <w:rFonts w:ascii="Arial" w:hAnsi="Arial" w:cs="Arial"/>
          <w:iCs/>
          <w:sz w:val="22"/>
          <w:szCs w:val="22"/>
        </w:rPr>
        <w:t xml:space="preserve"> riguarda la Romania</w:t>
      </w:r>
      <w:r>
        <w:rPr>
          <w:rFonts w:ascii="Arial" w:hAnsi="Arial" w:cs="Arial"/>
          <w:iCs/>
          <w:sz w:val="22"/>
          <w:szCs w:val="22"/>
        </w:rPr>
        <w:t xml:space="preserve"> (</w:t>
      </w:r>
      <w:r w:rsidRPr="00992AA8">
        <w:rPr>
          <w:rFonts w:ascii="Arial" w:hAnsi="Arial" w:cs="Arial"/>
          <w:iCs/>
          <w:sz w:val="22"/>
          <w:szCs w:val="22"/>
        </w:rPr>
        <w:t>21</w:t>
      </w:r>
      <w:r w:rsidR="00DC31B0">
        <w:rPr>
          <w:rFonts w:ascii="Arial" w:hAnsi="Arial" w:cs="Arial"/>
          <w:iCs/>
          <w:sz w:val="22"/>
          <w:szCs w:val="22"/>
        </w:rPr>
        <w:t>mila,</w:t>
      </w:r>
      <w:r>
        <w:rPr>
          <w:rFonts w:ascii="Arial" w:hAnsi="Arial" w:cs="Arial"/>
          <w:iCs/>
          <w:sz w:val="22"/>
          <w:szCs w:val="22"/>
        </w:rPr>
        <w:t xml:space="preserve"> -</w:t>
      </w:r>
      <w:r w:rsidRPr="00992AA8">
        <w:rPr>
          <w:rFonts w:ascii="Arial" w:hAnsi="Arial" w:cs="Arial"/>
          <w:iCs/>
          <w:sz w:val="22"/>
          <w:szCs w:val="22"/>
        </w:rPr>
        <w:t>24,8%</w:t>
      </w:r>
      <w:r>
        <w:rPr>
          <w:rFonts w:ascii="Arial" w:hAnsi="Arial" w:cs="Arial"/>
          <w:iCs/>
          <w:sz w:val="22"/>
          <w:szCs w:val="22"/>
        </w:rPr>
        <w:t>)</w:t>
      </w:r>
      <w:r w:rsidRPr="00992AA8">
        <w:rPr>
          <w:rFonts w:ascii="Arial" w:hAnsi="Arial" w:cs="Arial"/>
          <w:iCs/>
          <w:sz w:val="22"/>
          <w:szCs w:val="22"/>
        </w:rPr>
        <w:t>.</w:t>
      </w:r>
    </w:p>
    <w:p w14:paraId="712439D7" w14:textId="18886ECC" w:rsidR="00F10FF0" w:rsidRDefault="00DC31B0" w:rsidP="0055568C">
      <w:pPr>
        <w:jc w:val="both"/>
        <w:rPr>
          <w:rFonts w:ascii="Arial" w:hAnsi="Arial" w:cs="Arial"/>
          <w:iCs/>
          <w:sz w:val="22"/>
          <w:szCs w:val="22"/>
        </w:rPr>
      </w:pPr>
      <w:r>
        <w:rPr>
          <w:rFonts w:ascii="Arial" w:hAnsi="Arial" w:cs="Arial"/>
          <w:iCs/>
          <w:sz w:val="22"/>
          <w:szCs w:val="22"/>
        </w:rPr>
        <w:t xml:space="preserve">Particolarmente rilevanti sono i flussi </w:t>
      </w:r>
      <w:r w:rsidR="0088190B">
        <w:rPr>
          <w:rFonts w:ascii="Arial" w:hAnsi="Arial" w:cs="Arial"/>
          <w:iCs/>
          <w:sz w:val="22"/>
          <w:szCs w:val="22"/>
        </w:rPr>
        <w:t xml:space="preserve">di </w:t>
      </w:r>
      <w:r w:rsidR="00CC34A9">
        <w:rPr>
          <w:rFonts w:ascii="Arial" w:hAnsi="Arial" w:cs="Arial"/>
          <w:iCs/>
          <w:sz w:val="22"/>
          <w:szCs w:val="22"/>
        </w:rPr>
        <w:t xml:space="preserve">provenienza </w:t>
      </w:r>
      <w:r w:rsidR="0088190B">
        <w:rPr>
          <w:rFonts w:ascii="Arial" w:hAnsi="Arial" w:cs="Arial"/>
          <w:iCs/>
          <w:sz w:val="22"/>
          <w:szCs w:val="22"/>
        </w:rPr>
        <w:t xml:space="preserve">africana, </w:t>
      </w:r>
      <w:r>
        <w:rPr>
          <w:rFonts w:ascii="Arial" w:hAnsi="Arial" w:cs="Arial"/>
          <w:iCs/>
          <w:sz w:val="22"/>
          <w:szCs w:val="22"/>
        </w:rPr>
        <w:t>con un incremento significativo da</w:t>
      </w:r>
      <w:r w:rsidR="00847CCF">
        <w:rPr>
          <w:rFonts w:ascii="Arial" w:hAnsi="Arial" w:cs="Arial"/>
          <w:iCs/>
          <w:sz w:val="22"/>
          <w:szCs w:val="22"/>
        </w:rPr>
        <w:t>l</w:t>
      </w:r>
      <w:r w:rsidR="00E726BB">
        <w:rPr>
          <w:rFonts w:ascii="Arial" w:hAnsi="Arial" w:cs="Arial"/>
          <w:iCs/>
          <w:sz w:val="22"/>
          <w:szCs w:val="22"/>
        </w:rPr>
        <w:t xml:space="preserve"> Marocco (oltre </w:t>
      </w:r>
      <w:r w:rsidR="00847CCF">
        <w:rPr>
          <w:rFonts w:ascii="Arial" w:hAnsi="Arial" w:cs="Arial"/>
          <w:iCs/>
          <w:sz w:val="22"/>
          <w:szCs w:val="22"/>
        </w:rPr>
        <w:t>22</w:t>
      </w:r>
      <w:r w:rsidR="0088190B">
        <w:rPr>
          <w:rFonts w:ascii="Arial" w:hAnsi="Arial" w:cs="Arial"/>
          <w:iCs/>
          <w:sz w:val="22"/>
          <w:szCs w:val="22"/>
        </w:rPr>
        <w:t>mila</w:t>
      </w:r>
      <w:r w:rsidR="00E726BB">
        <w:rPr>
          <w:rFonts w:ascii="Arial" w:hAnsi="Arial" w:cs="Arial"/>
          <w:iCs/>
          <w:sz w:val="22"/>
          <w:szCs w:val="22"/>
        </w:rPr>
        <w:t xml:space="preserve"> ingressi l’anno</w:t>
      </w:r>
      <w:r w:rsidR="0088190B">
        <w:rPr>
          <w:rFonts w:ascii="Arial" w:hAnsi="Arial" w:cs="Arial"/>
          <w:iCs/>
          <w:sz w:val="22"/>
          <w:szCs w:val="22"/>
        </w:rPr>
        <w:t xml:space="preserve">, </w:t>
      </w:r>
      <w:r w:rsidR="000A5C91">
        <w:rPr>
          <w:rFonts w:ascii="Arial" w:hAnsi="Arial" w:cs="Arial"/>
          <w:iCs/>
          <w:sz w:val="22"/>
          <w:szCs w:val="22"/>
        </w:rPr>
        <w:t>+</w:t>
      </w:r>
      <w:r w:rsidR="00847CCF">
        <w:rPr>
          <w:rFonts w:ascii="Arial" w:hAnsi="Arial" w:cs="Arial"/>
          <w:iCs/>
          <w:sz w:val="22"/>
          <w:szCs w:val="22"/>
        </w:rPr>
        <w:t>15,8</w:t>
      </w:r>
      <w:r w:rsidR="0088190B">
        <w:rPr>
          <w:rFonts w:ascii="Arial" w:hAnsi="Arial" w:cs="Arial"/>
          <w:iCs/>
          <w:sz w:val="22"/>
          <w:szCs w:val="22"/>
        </w:rPr>
        <w:t>%, rispetto al 202</w:t>
      </w:r>
      <w:r w:rsidR="00847CCF">
        <w:rPr>
          <w:rFonts w:ascii="Arial" w:hAnsi="Arial" w:cs="Arial"/>
          <w:iCs/>
          <w:sz w:val="22"/>
          <w:szCs w:val="22"/>
        </w:rPr>
        <w:t>2</w:t>
      </w:r>
      <w:r w:rsidR="000A5C91">
        <w:rPr>
          <w:rFonts w:ascii="Arial" w:hAnsi="Arial" w:cs="Arial"/>
          <w:iCs/>
          <w:sz w:val="22"/>
          <w:szCs w:val="22"/>
        </w:rPr>
        <w:t xml:space="preserve">) e </w:t>
      </w:r>
      <w:r w:rsidR="0060731B">
        <w:rPr>
          <w:rFonts w:ascii="Arial" w:hAnsi="Arial" w:cs="Arial"/>
          <w:iCs/>
          <w:sz w:val="22"/>
          <w:szCs w:val="22"/>
        </w:rPr>
        <w:t>dal</w:t>
      </w:r>
      <w:r w:rsidR="000A5C91">
        <w:rPr>
          <w:rFonts w:ascii="Arial" w:hAnsi="Arial" w:cs="Arial"/>
          <w:iCs/>
          <w:sz w:val="22"/>
          <w:szCs w:val="22"/>
        </w:rPr>
        <w:t>l’Egitto (</w:t>
      </w:r>
      <w:r w:rsidR="00847CCF">
        <w:rPr>
          <w:rFonts w:ascii="Arial" w:hAnsi="Arial" w:cs="Arial"/>
          <w:iCs/>
          <w:sz w:val="22"/>
          <w:szCs w:val="22"/>
        </w:rPr>
        <w:t>21</w:t>
      </w:r>
      <w:r w:rsidR="000A5C91">
        <w:rPr>
          <w:rFonts w:ascii="Arial" w:hAnsi="Arial" w:cs="Arial"/>
          <w:iCs/>
          <w:sz w:val="22"/>
          <w:szCs w:val="22"/>
        </w:rPr>
        <w:t>mila l’anno, +</w:t>
      </w:r>
      <w:r w:rsidR="00847CCF">
        <w:rPr>
          <w:rFonts w:ascii="Arial" w:hAnsi="Arial" w:cs="Arial"/>
          <w:iCs/>
          <w:sz w:val="22"/>
          <w:szCs w:val="22"/>
        </w:rPr>
        <w:t>60,6</w:t>
      </w:r>
      <w:r w:rsidR="000A5C91">
        <w:rPr>
          <w:rFonts w:ascii="Arial" w:hAnsi="Arial" w:cs="Arial"/>
          <w:iCs/>
          <w:sz w:val="22"/>
          <w:szCs w:val="22"/>
        </w:rPr>
        <w:t xml:space="preserve">%). </w:t>
      </w:r>
      <w:r w:rsidR="008D0FA3">
        <w:rPr>
          <w:rFonts w:ascii="Arial" w:hAnsi="Arial" w:cs="Arial"/>
          <w:iCs/>
          <w:sz w:val="22"/>
          <w:szCs w:val="22"/>
        </w:rPr>
        <w:t>Sono</w:t>
      </w:r>
      <w:r w:rsidR="0060731B">
        <w:rPr>
          <w:rFonts w:ascii="Arial" w:hAnsi="Arial" w:cs="Arial"/>
          <w:iCs/>
          <w:sz w:val="22"/>
          <w:szCs w:val="22"/>
        </w:rPr>
        <w:t xml:space="preserve"> q</w:t>
      </w:r>
      <w:r w:rsidR="00847CCF">
        <w:rPr>
          <w:rFonts w:ascii="Arial" w:hAnsi="Arial" w:cs="Arial"/>
          <w:iCs/>
          <w:sz w:val="22"/>
          <w:szCs w:val="22"/>
        </w:rPr>
        <w:t>uasi r</w:t>
      </w:r>
      <w:r w:rsidR="000A5C91">
        <w:rPr>
          <w:rFonts w:ascii="Arial" w:hAnsi="Arial" w:cs="Arial"/>
          <w:iCs/>
          <w:sz w:val="22"/>
          <w:szCs w:val="22"/>
        </w:rPr>
        <w:t>addoppia</w:t>
      </w:r>
      <w:r w:rsidR="00847CCF">
        <w:rPr>
          <w:rFonts w:ascii="Arial" w:hAnsi="Arial" w:cs="Arial"/>
          <w:iCs/>
          <w:sz w:val="22"/>
          <w:szCs w:val="22"/>
        </w:rPr>
        <w:t>te</w:t>
      </w:r>
      <w:r w:rsidR="000A5C91">
        <w:rPr>
          <w:rFonts w:ascii="Arial" w:hAnsi="Arial" w:cs="Arial"/>
          <w:iCs/>
          <w:sz w:val="22"/>
          <w:szCs w:val="22"/>
        </w:rPr>
        <w:t xml:space="preserve"> le immigrazioni dalla Tunisia (</w:t>
      </w:r>
      <w:r w:rsidR="00847CCF">
        <w:rPr>
          <w:rFonts w:ascii="Arial" w:hAnsi="Arial" w:cs="Arial"/>
          <w:iCs/>
          <w:sz w:val="22"/>
          <w:szCs w:val="22"/>
        </w:rPr>
        <w:t>15</w:t>
      </w:r>
      <w:r w:rsidR="000A5C91">
        <w:rPr>
          <w:rFonts w:ascii="Arial" w:hAnsi="Arial" w:cs="Arial"/>
          <w:iCs/>
          <w:sz w:val="22"/>
          <w:szCs w:val="22"/>
        </w:rPr>
        <w:t>mila ingressi l’anno, +</w:t>
      </w:r>
      <w:r w:rsidR="00847CCF">
        <w:rPr>
          <w:rFonts w:ascii="Arial" w:hAnsi="Arial" w:cs="Arial"/>
          <w:iCs/>
          <w:sz w:val="22"/>
          <w:szCs w:val="22"/>
        </w:rPr>
        <w:t>95</w:t>
      </w:r>
      <w:r w:rsidR="000A5C91">
        <w:rPr>
          <w:rFonts w:ascii="Arial" w:hAnsi="Arial" w:cs="Arial"/>
          <w:iCs/>
          <w:sz w:val="22"/>
          <w:szCs w:val="22"/>
        </w:rPr>
        <w:t>%</w:t>
      </w:r>
      <w:r w:rsidR="008A2C81">
        <w:rPr>
          <w:rFonts w:ascii="Arial" w:hAnsi="Arial" w:cs="Arial"/>
          <w:iCs/>
          <w:sz w:val="22"/>
          <w:szCs w:val="22"/>
        </w:rPr>
        <w:t xml:space="preserve"> rispetto al 202</w:t>
      </w:r>
      <w:r w:rsidR="00847CCF">
        <w:rPr>
          <w:rFonts w:ascii="Arial" w:hAnsi="Arial" w:cs="Arial"/>
          <w:iCs/>
          <w:sz w:val="22"/>
          <w:szCs w:val="22"/>
        </w:rPr>
        <w:t>2</w:t>
      </w:r>
      <w:r w:rsidR="000A5C91">
        <w:rPr>
          <w:rFonts w:ascii="Arial" w:hAnsi="Arial" w:cs="Arial"/>
          <w:iCs/>
          <w:sz w:val="22"/>
          <w:szCs w:val="22"/>
        </w:rPr>
        <w:t>).</w:t>
      </w:r>
      <w:r w:rsidR="0088190B">
        <w:rPr>
          <w:rFonts w:ascii="Arial" w:hAnsi="Arial" w:cs="Arial"/>
          <w:iCs/>
          <w:sz w:val="22"/>
          <w:szCs w:val="22"/>
        </w:rPr>
        <w:t xml:space="preserve"> </w:t>
      </w:r>
      <w:r>
        <w:rPr>
          <w:rFonts w:ascii="Arial" w:hAnsi="Arial" w:cs="Arial"/>
          <w:iCs/>
          <w:sz w:val="22"/>
          <w:szCs w:val="22"/>
        </w:rPr>
        <w:t>Per l’area asiatica, n</w:t>
      </w:r>
      <w:r w:rsidR="005324EF">
        <w:rPr>
          <w:rFonts w:ascii="Arial" w:hAnsi="Arial" w:cs="Arial"/>
          <w:iCs/>
          <w:sz w:val="22"/>
          <w:szCs w:val="22"/>
        </w:rPr>
        <w:t>el biennio 202</w:t>
      </w:r>
      <w:r w:rsidR="008B7A59">
        <w:rPr>
          <w:rFonts w:ascii="Arial" w:hAnsi="Arial" w:cs="Arial"/>
          <w:iCs/>
          <w:sz w:val="22"/>
          <w:szCs w:val="22"/>
        </w:rPr>
        <w:t>3</w:t>
      </w:r>
      <w:r w:rsidR="005324EF">
        <w:rPr>
          <w:rFonts w:ascii="Arial" w:hAnsi="Arial" w:cs="Arial"/>
          <w:iCs/>
          <w:sz w:val="22"/>
          <w:szCs w:val="22"/>
        </w:rPr>
        <w:t>-2</w:t>
      </w:r>
      <w:r w:rsidR="008B7A59">
        <w:rPr>
          <w:rFonts w:ascii="Arial" w:hAnsi="Arial" w:cs="Arial"/>
          <w:iCs/>
          <w:sz w:val="22"/>
          <w:szCs w:val="22"/>
        </w:rPr>
        <w:t>4</w:t>
      </w:r>
      <w:r>
        <w:rPr>
          <w:rFonts w:ascii="Arial" w:hAnsi="Arial" w:cs="Arial"/>
          <w:iCs/>
          <w:sz w:val="22"/>
          <w:szCs w:val="22"/>
        </w:rPr>
        <w:t xml:space="preserve"> si evidenziano forti incrementi da</w:t>
      </w:r>
      <w:r w:rsidR="000664AE">
        <w:rPr>
          <w:rFonts w:ascii="Arial" w:hAnsi="Arial" w:cs="Arial"/>
          <w:iCs/>
          <w:sz w:val="22"/>
          <w:szCs w:val="22"/>
        </w:rPr>
        <w:t xml:space="preserve">l </w:t>
      </w:r>
      <w:r w:rsidR="0088190B">
        <w:rPr>
          <w:rFonts w:ascii="Arial" w:hAnsi="Arial" w:cs="Arial"/>
          <w:iCs/>
          <w:sz w:val="22"/>
          <w:szCs w:val="22"/>
        </w:rPr>
        <w:t xml:space="preserve">Bangladesh </w:t>
      </w:r>
      <w:r w:rsidR="008D0FA3">
        <w:rPr>
          <w:rFonts w:ascii="Arial" w:hAnsi="Arial" w:cs="Arial"/>
          <w:iCs/>
          <w:sz w:val="22"/>
          <w:szCs w:val="22"/>
        </w:rPr>
        <w:t>(</w:t>
      </w:r>
      <w:r w:rsidR="005324EF">
        <w:rPr>
          <w:rFonts w:ascii="Arial" w:hAnsi="Arial" w:cs="Arial"/>
          <w:iCs/>
          <w:sz w:val="22"/>
          <w:szCs w:val="22"/>
        </w:rPr>
        <w:t>mediamente 2</w:t>
      </w:r>
      <w:r w:rsidR="008B7A59">
        <w:rPr>
          <w:rFonts w:ascii="Arial" w:hAnsi="Arial" w:cs="Arial"/>
          <w:iCs/>
          <w:sz w:val="22"/>
          <w:szCs w:val="22"/>
        </w:rPr>
        <w:t>8</w:t>
      </w:r>
      <w:r w:rsidR="005324EF">
        <w:rPr>
          <w:rFonts w:ascii="Arial" w:hAnsi="Arial" w:cs="Arial"/>
          <w:iCs/>
          <w:sz w:val="22"/>
          <w:szCs w:val="22"/>
        </w:rPr>
        <w:t>mila</w:t>
      </w:r>
      <w:r>
        <w:rPr>
          <w:rFonts w:ascii="Arial" w:hAnsi="Arial" w:cs="Arial"/>
          <w:iCs/>
          <w:sz w:val="22"/>
          <w:szCs w:val="22"/>
        </w:rPr>
        <w:t xml:space="preserve"> ingressi</w:t>
      </w:r>
      <w:r w:rsidR="005324EF">
        <w:rPr>
          <w:rFonts w:ascii="Arial" w:hAnsi="Arial" w:cs="Arial"/>
          <w:iCs/>
          <w:sz w:val="22"/>
          <w:szCs w:val="22"/>
        </w:rPr>
        <w:t xml:space="preserve"> l’anno</w:t>
      </w:r>
      <w:r w:rsidR="008D0FA3">
        <w:rPr>
          <w:rFonts w:ascii="Arial" w:hAnsi="Arial" w:cs="Arial"/>
          <w:iCs/>
          <w:sz w:val="22"/>
          <w:szCs w:val="22"/>
        </w:rPr>
        <w:t xml:space="preserve">, </w:t>
      </w:r>
      <w:r w:rsidR="0088190B">
        <w:rPr>
          <w:rFonts w:ascii="Arial" w:hAnsi="Arial" w:cs="Arial"/>
          <w:iCs/>
          <w:sz w:val="22"/>
          <w:szCs w:val="22"/>
        </w:rPr>
        <w:t>+</w:t>
      </w:r>
      <w:r w:rsidR="008B7A59">
        <w:rPr>
          <w:rFonts w:ascii="Arial" w:hAnsi="Arial" w:cs="Arial"/>
          <w:iCs/>
          <w:sz w:val="22"/>
          <w:szCs w:val="22"/>
        </w:rPr>
        <w:t>32,2</w:t>
      </w:r>
      <w:r w:rsidR="0088190B">
        <w:rPr>
          <w:rFonts w:ascii="Arial" w:hAnsi="Arial" w:cs="Arial"/>
          <w:iCs/>
          <w:sz w:val="22"/>
          <w:szCs w:val="22"/>
        </w:rPr>
        <w:t>%)</w:t>
      </w:r>
      <w:r w:rsidR="00A252CB">
        <w:rPr>
          <w:rFonts w:ascii="Arial" w:hAnsi="Arial" w:cs="Arial"/>
          <w:iCs/>
          <w:sz w:val="22"/>
          <w:szCs w:val="22"/>
        </w:rPr>
        <w:t xml:space="preserve">, </w:t>
      </w:r>
      <w:r w:rsidR="008D0FA3">
        <w:rPr>
          <w:rFonts w:ascii="Arial" w:hAnsi="Arial" w:cs="Arial"/>
          <w:iCs/>
          <w:sz w:val="22"/>
          <w:szCs w:val="22"/>
        </w:rPr>
        <w:t xml:space="preserve">a </w:t>
      </w:r>
      <w:r>
        <w:rPr>
          <w:rFonts w:ascii="Arial" w:hAnsi="Arial" w:cs="Arial"/>
          <w:iCs/>
          <w:sz w:val="22"/>
          <w:szCs w:val="22"/>
        </w:rPr>
        <w:t>segu</w:t>
      </w:r>
      <w:r w:rsidR="008D0FA3">
        <w:rPr>
          <w:rFonts w:ascii="Arial" w:hAnsi="Arial" w:cs="Arial"/>
          <w:iCs/>
          <w:sz w:val="22"/>
          <w:szCs w:val="22"/>
        </w:rPr>
        <w:t>ire</w:t>
      </w:r>
      <w:r w:rsidR="0088190B">
        <w:rPr>
          <w:rFonts w:ascii="Arial" w:hAnsi="Arial" w:cs="Arial"/>
          <w:iCs/>
          <w:sz w:val="22"/>
          <w:szCs w:val="22"/>
        </w:rPr>
        <w:t xml:space="preserve"> Pakistan (</w:t>
      </w:r>
      <w:r w:rsidR="008B7A59">
        <w:rPr>
          <w:rFonts w:ascii="Arial" w:hAnsi="Arial" w:cs="Arial"/>
          <w:iCs/>
          <w:sz w:val="22"/>
          <w:szCs w:val="22"/>
        </w:rPr>
        <w:t>21</w:t>
      </w:r>
      <w:r w:rsidR="005324EF">
        <w:rPr>
          <w:rFonts w:ascii="Arial" w:hAnsi="Arial" w:cs="Arial"/>
          <w:iCs/>
          <w:sz w:val="22"/>
          <w:szCs w:val="22"/>
        </w:rPr>
        <w:t>mila l’anno,</w:t>
      </w:r>
      <w:r w:rsidR="0088190B">
        <w:rPr>
          <w:rFonts w:ascii="Arial" w:hAnsi="Arial" w:cs="Arial"/>
          <w:iCs/>
          <w:sz w:val="22"/>
          <w:szCs w:val="22"/>
        </w:rPr>
        <w:t xml:space="preserve"> +</w:t>
      </w:r>
      <w:r w:rsidR="008B7A59">
        <w:rPr>
          <w:rFonts w:ascii="Arial" w:hAnsi="Arial" w:cs="Arial"/>
          <w:iCs/>
          <w:sz w:val="22"/>
          <w:szCs w:val="22"/>
        </w:rPr>
        <w:t>24,8</w:t>
      </w:r>
      <w:r w:rsidR="0088190B">
        <w:rPr>
          <w:rFonts w:ascii="Arial" w:hAnsi="Arial" w:cs="Arial"/>
          <w:iCs/>
          <w:sz w:val="22"/>
          <w:szCs w:val="22"/>
        </w:rPr>
        <w:t xml:space="preserve">%) e </w:t>
      </w:r>
      <w:r w:rsidR="00EB0FB9">
        <w:rPr>
          <w:rFonts w:ascii="Arial" w:hAnsi="Arial" w:cs="Arial"/>
          <w:iCs/>
          <w:sz w:val="22"/>
          <w:szCs w:val="22"/>
        </w:rPr>
        <w:t>India (1</w:t>
      </w:r>
      <w:r w:rsidR="008B7A59">
        <w:rPr>
          <w:rFonts w:ascii="Arial" w:hAnsi="Arial" w:cs="Arial"/>
          <w:iCs/>
          <w:sz w:val="22"/>
          <w:szCs w:val="22"/>
        </w:rPr>
        <w:t>4</w:t>
      </w:r>
      <w:r w:rsidR="00EB0FB9">
        <w:rPr>
          <w:rFonts w:ascii="Arial" w:hAnsi="Arial" w:cs="Arial"/>
          <w:iCs/>
          <w:sz w:val="22"/>
          <w:szCs w:val="22"/>
        </w:rPr>
        <w:t>mila l’anno</w:t>
      </w:r>
      <w:r w:rsidR="0088190B">
        <w:rPr>
          <w:rFonts w:ascii="Arial" w:hAnsi="Arial" w:cs="Arial"/>
          <w:iCs/>
          <w:sz w:val="22"/>
          <w:szCs w:val="22"/>
        </w:rPr>
        <w:t>, +</w:t>
      </w:r>
      <w:r w:rsidR="008B7A59">
        <w:rPr>
          <w:rFonts w:ascii="Arial" w:hAnsi="Arial" w:cs="Arial"/>
          <w:iCs/>
          <w:sz w:val="22"/>
          <w:szCs w:val="22"/>
        </w:rPr>
        <w:t>5,4</w:t>
      </w:r>
      <w:r w:rsidR="0088190B">
        <w:rPr>
          <w:rFonts w:ascii="Arial" w:hAnsi="Arial" w:cs="Arial"/>
          <w:iCs/>
          <w:sz w:val="22"/>
          <w:szCs w:val="22"/>
        </w:rPr>
        <w:t xml:space="preserve">%) </w:t>
      </w:r>
      <w:r w:rsidR="00A252CB">
        <w:rPr>
          <w:rFonts w:ascii="Arial" w:hAnsi="Arial" w:cs="Arial"/>
          <w:iCs/>
          <w:sz w:val="22"/>
          <w:szCs w:val="22"/>
        </w:rPr>
        <w:t>(</w:t>
      </w:r>
      <w:r w:rsidR="009234D1" w:rsidRPr="0094059D">
        <w:rPr>
          <w:rFonts w:ascii="Arial" w:hAnsi="Arial" w:cs="Arial"/>
          <w:iCs/>
          <w:sz w:val="22"/>
          <w:szCs w:val="22"/>
        </w:rPr>
        <w:t>F</w:t>
      </w:r>
      <w:r w:rsidR="00BE7400" w:rsidRPr="0094059D">
        <w:rPr>
          <w:rFonts w:ascii="Arial" w:hAnsi="Arial" w:cs="Arial"/>
          <w:iCs/>
          <w:sz w:val="22"/>
          <w:szCs w:val="22"/>
        </w:rPr>
        <w:t>igura 2</w:t>
      </w:r>
      <w:r w:rsidR="0094059D" w:rsidRPr="0094059D">
        <w:rPr>
          <w:rFonts w:ascii="Arial" w:hAnsi="Arial" w:cs="Arial"/>
          <w:iCs/>
          <w:sz w:val="22"/>
          <w:szCs w:val="22"/>
        </w:rPr>
        <w:t>)</w:t>
      </w:r>
      <w:r w:rsidR="0094059D">
        <w:rPr>
          <w:rFonts w:ascii="Arial" w:hAnsi="Arial" w:cs="Arial"/>
          <w:iCs/>
          <w:sz w:val="22"/>
          <w:szCs w:val="22"/>
        </w:rPr>
        <w:t>.</w:t>
      </w:r>
      <w:r w:rsidR="008C43D3">
        <w:rPr>
          <w:rFonts w:ascii="Arial" w:hAnsi="Arial" w:cs="Arial"/>
          <w:iCs/>
          <w:sz w:val="22"/>
          <w:szCs w:val="22"/>
        </w:rPr>
        <w:t xml:space="preserve"> </w:t>
      </w:r>
      <w:r w:rsidR="00F10FF0" w:rsidRPr="00F10FF0">
        <w:rPr>
          <w:rFonts w:ascii="Arial" w:hAnsi="Arial" w:cs="Arial"/>
          <w:iCs/>
          <w:sz w:val="22"/>
          <w:szCs w:val="22"/>
        </w:rPr>
        <w:t xml:space="preserve">Nel biennio 2023-24, gli immigrati stranieri si </w:t>
      </w:r>
      <w:r w:rsidR="00E32540">
        <w:rPr>
          <w:rFonts w:ascii="Arial" w:hAnsi="Arial" w:cs="Arial"/>
          <w:iCs/>
          <w:sz w:val="22"/>
          <w:szCs w:val="22"/>
        </w:rPr>
        <w:t>dirigono</w:t>
      </w:r>
      <w:r w:rsidR="00F10FF0" w:rsidRPr="00F10FF0">
        <w:rPr>
          <w:rFonts w:ascii="Arial" w:hAnsi="Arial" w:cs="Arial"/>
          <w:iCs/>
          <w:sz w:val="22"/>
          <w:szCs w:val="22"/>
        </w:rPr>
        <w:t xml:space="preserve"> principalmente nel Nord Italia, </w:t>
      </w:r>
      <w:r w:rsidR="00E32540">
        <w:rPr>
          <w:rFonts w:ascii="Arial" w:hAnsi="Arial" w:cs="Arial"/>
          <w:iCs/>
          <w:sz w:val="22"/>
          <w:szCs w:val="22"/>
        </w:rPr>
        <w:t>(</w:t>
      </w:r>
      <w:r w:rsidR="00F10FF0" w:rsidRPr="00F10FF0">
        <w:rPr>
          <w:rFonts w:ascii="Arial" w:hAnsi="Arial" w:cs="Arial"/>
          <w:iCs/>
          <w:sz w:val="22"/>
          <w:szCs w:val="22"/>
        </w:rPr>
        <w:t>412mila</w:t>
      </w:r>
      <w:r w:rsidR="00E32540">
        <w:rPr>
          <w:rFonts w:ascii="Arial" w:hAnsi="Arial" w:cs="Arial"/>
          <w:iCs/>
          <w:sz w:val="22"/>
          <w:szCs w:val="22"/>
        </w:rPr>
        <w:t xml:space="preserve">, </w:t>
      </w:r>
      <w:r w:rsidR="008D0FA3">
        <w:rPr>
          <w:rFonts w:ascii="Arial" w:hAnsi="Arial" w:cs="Arial"/>
          <w:iCs/>
          <w:sz w:val="22"/>
          <w:szCs w:val="22"/>
        </w:rPr>
        <w:t>i</w:t>
      </w:r>
      <w:r w:rsidR="00F10FF0" w:rsidRPr="00F10FF0">
        <w:rPr>
          <w:rFonts w:ascii="Arial" w:hAnsi="Arial" w:cs="Arial"/>
          <w:iCs/>
          <w:sz w:val="22"/>
          <w:szCs w:val="22"/>
        </w:rPr>
        <w:t>l 54,1% del totale), ripartizione territoriale con la maggiore presenza di cittadini stranieri</w:t>
      </w:r>
      <w:r w:rsidR="00225B97">
        <w:rPr>
          <w:rFonts w:ascii="Arial" w:hAnsi="Arial" w:cs="Arial"/>
          <w:iCs/>
          <w:sz w:val="22"/>
          <w:szCs w:val="22"/>
        </w:rPr>
        <w:t xml:space="preserve"> residenti</w:t>
      </w:r>
      <w:r w:rsidR="00F10FF0" w:rsidRPr="00F10FF0">
        <w:rPr>
          <w:rFonts w:ascii="Arial" w:hAnsi="Arial" w:cs="Arial"/>
          <w:iCs/>
          <w:sz w:val="22"/>
          <w:szCs w:val="22"/>
        </w:rPr>
        <w:t xml:space="preserve">. Seguono il Mezzogiorno, con 192mila arrivi </w:t>
      </w:r>
      <w:r w:rsidR="00883DE5">
        <w:rPr>
          <w:rFonts w:ascii="Arial" w:hAnsi="Arial" w:cs="Arial"/>
          <w:iCs/>
          <w:sz w:val="22"/>
          <w:szCs w:val="22"/>
        </w:rPr>
        <w:t xml:space="preserve">nel complesso </w:t>
      </w:r>
      <w:r w:rsidR="00F10FF0" w:rsidRPr="00F10FF0">
        <w:rPr>
          <w:rFonts w:ascii="Arial" w:hAnsi="Arial" w:cs="Arial"/>
          <w:iCs/>
          <w:sz w:val="22"/>
          <w:szCs w:val="22"/>
        </w:rPr>
        <w:t>(25,2%) e il Centro con 157mila (20,7%).</w:t>
      </w:r>
      <w:r w:rsidR="00E32540">
        <w:rPr>
          <w:rFonts w:ascii="Arial" w:hAnsi="Arial" w:cs="Arial"/>
          <w:iCs/>
          <w:sz w:val="22"/>
          <w:szCs w:val="22"/>
        </w:rPr>
        <w:t xml:space="preserve"> </w:t>
      </w:r>
      <w:r w:rsidR="00F10FF0" w:rsidRPr="00F10FF0">
        <w:rPr>
          <w:rFonts w:ascii="Arial" w:hAnsi="Arial" w:cs="Arial"/>
          <w:iCs/>
          <w:sz w:val="22"/>
          <w:szCs w:val="22"/>
        </w:rPr>
        <w:t xml:space="preserve">A livello regionale, la Lombardia </w:t>
      </w:r>
      <w:r w:rsidR="00E32540">
        <w:rPr>
          <w:rFonts w:ascii="Arial" w:hAnsi="Arial" w:cs="Arial"/>
          <w:iCs/>
          <w:sz w:val="22"/>
          <w:szCs w:val="22"/>
        </w:rPr>
        <w:t xml:space="preserve">accoglie </w:t>
      </w:r>
      <w:r w:rsidR="00F10FF0" w:rsidRPr="00F10FF0">
        <w:rPr>
          <w:rFonts w:ascii="Arial" w:hAnsi="Arial" w:cs="Arial"/>
          <w:iCs/>
          <w:sz w:val="22"/>
          <w:szCs w:val="22"/>
        </w:rPr>
        <w:t xml:space="preserve">un cittadino straniero su cinque (159 mila nel biennio), mentre Piemonte, Veneto, Emilia-Romagna, Toscana e Lazio accolgono complessivamente quattro stranieri su </w:t>
      </w:r>
      <w:r w:rsidR="008D0FA3">
        <w:rPr>
          <w:rFonts w:ascii="Arial" w:hAnsi="Arial" w:cs="Arial"/>
          <w:iCs/>
          <w:sz w:val="22"/>
          <w:szCs w:val="22"/>
        </w:rPr>
        <w:t>10</w:t>
      </w:r>
      <w:r w:rsidR="00F10FF0" w:rsidRPr="00F10FF0">
        <w:rPr>
          <w:rFonts w:ascii="Arial" w:hAnsi="Arial" w:cs="Arial"/>
          <w:iCs/>
          <w:sz w:val="22"/>
          <w:szCs w:val="22"/>
        </w:rPr>
        <w:t>.</w:t>
      </w:r>
      <w:r w:rsidR="00E32540">
        <w:rPr>
          <w:rFonts w:ascii="Arial" w:hAnsi="Arial" w:cs="Arial"/>
          <w:iCs/>
          <w:sz w:val="22"/>
          <w:szCs w:val="22"/>
        </w:rPr>
        <w:t xml:space="preserve"> </w:t>
      </w:r>
      <w:r w:rsidR="00F10FF0" w:rsidRPr="00F10FF0">
        <w:rPr>
          <w:rFonts w:ascii="Arial" w:hAnsi="Arial" w:cs="Arial"/>
          <w:iCs/>
          <w:sz w:val="22"/>
          <w:szCs w:val="22"/>
        </w:rPr>
        <w:t xml:space="preserve">Infine, su scala provinciale, le principali destinazioni sono le città metropolitane di Milano e Roma, che registrano rispettivamente 65mila e 47mila </w:t>
      </w:r>
      <w:r w:rsidR="00E32540">
        <w:rPr>
          <w:rFonts w:ascii="Arial" w:hAnsi="Arial" w:cs="Arial"/>
          <w:iCs/>
          <w:sz w:val="22"/>
          <w:szCs w:val="22"/>
        </w:rPr>
        <w:t>ingressi</w:t>
      </w:r>
      <w:r w:rsidR="00F10FF0" w:rsidRPr="00F10FF0">
        <w:rPr>
          <w:rFonts w:ascii="Arial" w:hAnsi="Arial" w:cs="Arial"/>
          <w:iCs/>
          <w:sz w:val="22"/>
          <w:szCs w:val="22"/>
        </w:rPr>
        <w:t xml:space="preserve"> nei due anni.</w:t>
      </w:r>
    </w:p>
    <w:p w14:paraId="1632F016" w14:textId="1C0C0937" w:rsidR="008D0FA3" w:rsidRDefault="008D0FA3" w:rsidP="00885259">
      <w:pPr>
        <w:jc w:val="both"/>
        <w:rPr>
          <w:rFonts w:ascii="Arial" w:hAnsi="Arial" w:cs="Arial"/>
          <w:iCs/>
          <w:sz w:val="22"/>
          <w:szCs w:val="22"/>
        </w:rPr>
      </w:pPr>
    </w:p>
    <w:p w14:paraId="14CA4DC3" w14:textId="77777777" w:rsidR="008D0FA3" w:rsidRPr="00885259" w:rsidRDefault="008D0FA3" w:rsidP="00885259">
      <w:pPr>
        <w:jc w:val="both"/>
        <w:rPr>
          <w:rFonts w:ascii="Arial" w:hAnsi="Arial" w:cs="Arial"/>
          <w:iCs/>
          <w:sz w:val="36"/>
          <w:szCs w:val="22"/>
        </w:rPr>
      </w:pPr>
    </w:p>
    <w:p w14:paraId="625F451F" w14:textId="62B32917" w:rsidR="00FF7418" w:rsidRDefault="00EF057A" w:rsidP="00483B73">
      <w:pPr>
        <w:autoSpaceDE w:val="0"/>
        <w:autoSpaceDN w:val="0"/>
        <w:adjustRightInd w:val="0"/>
        <w:rPr>
          <w:rFonts w:ascii="Arial Narrow" w:hAnsi="Arial Narrow" w:cs="Arial"/>
          <w:iCs/>
          <w:noProof/>
          <w:color w:val="1F497D" w:themeColor="text2"/>
          <w:sz w:val="22"/>
          <w:szCs w:val="22"/>
        </w:rPr>
      </w:pPr>
      <w:r w:rsidRPr="0094059D">
        <w:rPr>
          <w:rFonts w:ascii="Arial Black" w:hAnsi="Arial Black" w:cs="Arial"/>
          <w:iCs/>
          <w:noProof/>
          <w:color w:val="1F497D" w:themeColor="text2"/>
          <w:sz w:val="22"/>
          <w:szCs w:val="22"/>
        </w:rPr>
        <w:t xml:space="preserve">FIGURA </w:t>
      </w:r>
      <w:r w:rsidR="00205589" w:rsidRPr="0094059D">
        <w:rPr>
          <w:rFonts w:ascii="Arial Black" w:hAnsi="Arial Black" w:cs="Arial"/>
          <w:iCs/>
          <w:noProof/>
          <w:color w:val="1F497D" w:themeColor="text2"/>
          <w:sz w:val="22"/>
          <w:szCs w:val="22"/>
        </w:rPr>
        <w:t>2</w:t>
      </w:r>
      <w:r w:rsidRPr="0094059D">
        <w:rPr>
          <w:rFonts w:ascii="Arial Black" w:hAnsi="Arial Black" w:cs="Arial"/>
          <w:iCs/>
          <w:noProof/>
          <w:color w:val="1F497D" w:themeColor="text2"/>
          <w:sz w:val="22"/>
          <w:szCs w:val="22"/>
        </w:rPr>
        <w:t>.</w:t>
      </w:r>
      <w:r w:rsidRPr="001533D6">
        <w:rPr>
          <w:rFonts w:ascii="Arial Black" w:hAnsi="Arial Black" w:cs="Arial"/>
          <w:iCs/>
          <w:noProof/>
          <w:color w:val="1F497D" w:themeColor="text2"/>
          <w:sz w:val="22"/>
          <w:szCs w:val="22"/>
        </w:rPr>
        <w:t xml:space="preserve"> </w:t>
      </w:r>
      <w:r w:rsidR="003E736B" w:rsidRPr="000F25D5">
        <w:rPr>
          <w:rFonts w:ascii="Arial Narrow" w:hAnsi="Arial Narrow" w:cs="Arial"/>
          <w:b/>
          <w:iCs/>
          <w:noProof/>
          <w:color w:val="1F497D" w:themeColor="text2"/>
          <w:sz w:val="22"/>
          <w:szCs w:val="22"/>
        </w:rPr>
        <w:t>IMMIGRAZIONI</w:t>
      </w:r>
      <w:r w:rsidR="00567555">
        <w:rPr>
          <w:rFonts w:ascii="Arial Narrow" w:hAnsi="Arial Narrow" w:cs="Arial"/>
          <w:b/>
          <w:iCs/>
          <w:noProof/>
          <w:color w:val="1F497D" w:themeColor="text2"/>
          <w:sz w:val="22"/>
          <w:szCs w:val="22"/>
        </w:rPr>
        <w:t xml:space="preserve"> DEI CITTADINI </w:t>
      </w:r>
      <w:r w:rsidR="00514E20">
        <w:rPr>
          <w:rFonts w:ascii="Arial Narrow" w:hAnsi="Arial Narrow" w:cs="Arial"/>
          <w:b/>
          <w:iCs/>
          <w:noProof/>
          <w:color w:val="1F497D" w:themeColor="text2"/>
          <w:sz w:val="22"/>
          <w:szCs w:val="22"/>
        </w:rPr>
        <w:t>STRANIER</w:t>
      </w:r>
      <w:r w:rsidR="00567555">
        <w:rPr>
          <w:rFonts w:ascii="Arial Narrow" w:hAnsi="Arial Narrow" w:cs="Arial"/>
          <w:b/>
          <w:iCs/>
          <w:noProof/>
          <w:color w:val="1F497D" w:themeColor="text2"/>
          <w:sz w:val="22"/>
          <w:szCs w:val="22"/>
        </w:rPr>
        <w:t>I</w:t>
      </w:r>
      <w:r w:rsidR="00514E20">
        <w:rPr>
          <w:rFonts w:ascii="Arial Narrow" w:hAnsi="Arial Narrow" w:cs="Arial"/>
          <w:b/>
          <w:iCs/>
          <w:noProof/>
          <w:color w:val="1F497D" w:themeColor="text2"/>
          <w:sz w:val="22"/>
          <w:szCs w:val="22"/>
        </w:rPr>
        <w:t xml:space="preserve"> </w:t>
      </w:r>
      <w:r w:rsidR="003E736B" w:rsidRPr="000F25D5">
        <w:rPr>
          <w:rFonts w:ascii="Arial Narrow" w:hAnsi="Arial Narrow" w:cs="Arial"/>
          <w:b/>
          <w:iCs/>
          <w:noProof/>
          <w:color w:val="1F497D" w:themeColor="text2"/>
          <w:sz w:val="22"/>
          <w:szCs w:val="22"/>
        </w:rPr>
        <w:t xml:space="preserve">PER PRINCIPALI PAESI DI PROVENIENZA. </w:t>
      </w:r>
      <w:r w:rsidR="00115901">
        <w:rPr>
          <w:rFonts w:ascii="Arial Narrow" w:hAnsi="Arial Narrow" w:cs="Arial"/>
          <w:b/>
          <w:iCs/>
          <w:noProof/>
          <w:color w:val="1F497D" w:themeColor="text2"/>
          <w:sz w:val="22"/>
          <w:szCs w:val="22"/>
        </w:rPr>
        <w:br/>
      </w:r>
      <w:r w:rsidR="003E736B" w:rsidRPr="000F25D5">
        <w:rPr>
          <w:rFonts w:ascii="Arial Narrow" w:hAnsi="Arial Narrow" w:cs="Arial"/>
          <w:iCs/>
          <w:noProof/>
          <w:color w:val="1F497D" w:themeColor="text2"/>
          <w:sz w:val="22"/>
          <w:szCs w:val="22"/>
        </w:rPr>
        <w:t>Ann</w:t>
      </w:r>
      <w:r w:rsidR="00421550">
        <w:rPr>
          <w:rFonts w:ascii="Arial Narrow" w:hAnsi="Arial Narrow" w:cs="Arial"/>
          <w:iCs/>
          <w:noProof/>
          <w:color w:val="1F497D" w:themeColor="text2"/>
          <w:sz w:val="22"/>
          <w:szCs w:val="22"/>
        </w:rPr>
        <w:t>i</w:t>
      </w:r>
      <w:r w:rsidR="00514E20">
        <w:rPr>
          <w:rFonts w:ascii="Arial Narrow" w:hAnsi="Arial Narrow" w:cs="Arial"/>
          <w:iCs/>
          <w:noProof/>
          <w:color w:val="1F497D" w:themeColor="text2"/>
          <w:sz w:val="22"/>
          <w:szCs w:val="22"/>
        </w:rPr>
        <w:t xml:space="preserve"> 202</w:t>
      </w:r>
      <w:r w:rsidR="0094059D">
        <w:rPr>
          <w:rFonts w:ascii="Arial Narrow" w:hAnsi="Arial Narrow" w:cs="Arial"/>
          <w:iCs/>
          <w:noProof/>
          <w:color w:val="1F497D" w:themeColor="text2"/>
          <w:sz w:val="22"/>
          <w:szCs w:val="22"/>
        </w:rPr>
        <w:t>3</w:t>
      </w:r>
      <w:r w:rsidR="00514E20">
        <w:rPr>
          <w:rFonts w:ascii="Arial Narrow" w:hAnsi="Arial Narrow" w:cs="Arial"/>
          <w:iCs/>
          <w:noProof/>
          <w:color w:val="1F497D" w:themeColor="text2"/>
          <w:sz w:val="22"/>
          <w:szCs w:val="22"/>
        </w:rPr>
        <w:t xml:space="preserve"> e 202</w:t>
      </w:r>
      <w:r w:rsidR="0094059D">
        <w:rPr>
          <w:rFonts w:ascii="Arial Narrow" w:hAnsi="Arial Narrow" w:cs="Arial"/>
          <w:iCs/>
          <w:noProof/>
          <w:color w:val="1F497D" w:themeColor="text2"/>
          <w:sz w:val="22"/>
          <w:szCs w:val="22"/>
        </w:rPr>
        <w:t>4</w:t>
      </w:r>
      <w:r w:rsidR="00514E20">
        <w:rPr>
          <w:rFonts w:ascii="Arial Narrow" w:hAnsi="Arial Narrow" w:cs="Arial"/>
          <w:iCs/>
          <w:noProof/>
          <w:color w:val="1F497D" w:themeColor="text2"/>
          <w:sz w:val="22"/>
          <w:szCs w:val="22"/>
        </w:rPr>
        <w:t>,</w:t>
      </w:r>
      <w:r w:rsidR="00421550">
        <w:rPr>
          <w:rFonts w:ascii="Arial Narrow" w:hAnsi="Arial Narrow" w:cs="Arial"/>
          <w:iCs/>
          <w:noProof/>
          <w:color w:val="1F497D" w:themeColor="text2"/>
          <w:sz w:val="22"/>
          <w:szCs w:val="22"/>
        </w:rPr>
        <w:t xml:space="preserve"> valori </w:t>
      </w:r>
      <w:r w:rsidR="00421550" w:rsidRPr="00885259">
        <w:rPr>
          <w:rFonts w:ascii="Arial Narrow" w:hAnsi="Arial Narrow" w:cs="Arial"/>
          <w:iCs/>
          <w:noProof/>
          <w:color w:val="1F497D" w:themeColor="text2"/>
          <w:sz w:val="22"/>
          <w:szCs w:val="22"/>
        </w:rPr>
        <w:t xml:space="preserve">assoluti </w:t>
      </w:r>
      <w:r w:rsidR="00C54730" w:rsidRPr="00885259">
        <w:rPr>
          <w:rFonts w:ascii="Arial Narrow" w:hAnsi="Arial Narrow" w:cs="Arial"/>
          <w:iCs/>
          <w:noProof/>
          <w:color w:val="1F497D" w:themeColor="text2"/>
          <w:sz w:val="22"/>
          <w:szCs w:val="22"/>
        </w:rPr>
        <w:t>(asse</w:t>
      </w:r>
      <w:r w:rsidR="00A264DB" w:rsidRPr="00885259">
        <w:rPr>
          <w:rFonts w:ascii="Arial Narrow" w:hAnsi="Arial Narrow" w:cs="Arial"/>
          <w:iCs/>
          <w:noProof/>
          <w:color w:val="1F497D" w:themeColor="text2"/>
          <w:sz w:val="22"/>
          <w:szCs w:val="22"/>
        </w:rPr>
        <w:t xml:space="preserve"> </w:t>
      </w:r>
      <w:r w:rsidR="00885259" w:rsidRPr="00885259">
        <w:rPr>
          <w:rFonts w:ascii="Arial Narrow" w:hAnsi="Arial Narrow" w:cs="Arial"/>
          <w:iCs/>
          <w:noProof/>
          <w:color w:val="1F497D" w:themeColor="text2"/>
          <w:sz w:val="22"/>
          <w:szCs w:val="22"/>
        </w:rPr>
        <w:t>sx</w:t>
      </w:r>
      <w:r w:rsidR="00C54730" w:rsidRPr="00885259">
        <w:rPr>
          <w:rFonts w:ascii="Arial Narrow" w:hAnsi="Arial Narrow" w:cs="Arial"/>
          <w:iCs/>
          <w:noProof/>
          <w:color w:val="1F497D" w:themeColor="text2"/>
          <w:sz w:val="22"/>
          <w:szCs w:val="22"/>
        </w:rPr>
        <w:t>)</w:t>
      </w:r>
      <w:r w:rsidR="00D45195" w:rsidRPr="00885259">
        <w:rPr>
          <w:rFonts w:ascii="Arial Narrow" w:hAnsi="Arial Narrow" w:cs="Arial"/>
          <w:iCs/>
          <w:noProof/>
          <w:color w:val="1F497D" w:themeColor="text2"/>
          <w:sz w:val="22"/>
          <w:szCs w:val="22"/>
        </w:rPr>
        <w:t xml:space="preserve"> </w:t>
      </w:r>
      <w:r w:rsidR="00885259" w:rsidRPr="00885259">
        <w:rPr>
          <w:rFonts w:ascii="Arial Narrow" w:hAnsi="Arial Narrow" w:cs="Arial"/>
          <w:iCs/>
          <w:noProof/>
          <w:color w:val="1F497D" w:themeColor="text2"/>
          <w:sz w:val="22"/>
          <w:szCs w:val="22"/>
        </w:rPr>
        <w:t>e media (asse dx), in migliaia</w:t>
      </w:r>
      <w:r w:rsidR="00A264DB">
        <w:rPr>
          <w:rFonts w:ascii="Arial Narrow" w:hAnsi="Arial Narrow" w:cs="Arial"/>
          <w:iCs/>
          <w:noProof/>
          <w:color w:val="1F497D" w:themeColor="text2"/>
          <w:sz w:val="22"/>
          <w:szCs w:val="22"/>
        </w:rPr>
        <w:t xml:space="preserve"> </w:t>
      </w:r>
    </w:p>
    <w:p w14:paraId="7212F26E" w14:textId="77777777" w:rsidR="000C1F64" w:rsidRDefault="000C1F64" w:rsidP="00483B73">
      <w:pPr>
        <w:autoSpaceDE w:val="0"/>
        <w:autoSpaceDN w:val="0"/>
        <w:adjustRightInd w:val="0"/>
        <w:rPr>
          <w:rFonts w:ascii="Arial Narrow" w:hAnsi="Arial Narrow" w:cs="Arial"/>
          <w:iCs/>
          <w:noProof/>
          <w:color w:val="1F497D" w:themeColor="text2"/>
          <w:sz w:val="22"/>
          <w:szCs w:val="22"/>
        </w:rPr>
      </w:pPr>
    </w:p>
    <w:p w14:paraId="58BAAD3C" w14:textId="751B018A" w:rsidR="0094059D" w:rsidRDefault="000C1F64" w:rsidP="00483B73">
      <w:pPr>
        <w:autoSpaceDE w:val="0"/>
        <w:autoSpaceDN w:val="0"/>
        <w:adjustRightInd w:val="0"/>
        <w:rPr>
          <w:rFonts w:ascii="Arial Narrow" w:hAnsi="Arial Narrow" w:cs="Arial"/>
          <w:iCs/>
          <w:noProof/>
          <w:color w:val="1F497D" w:themeColor="text2"/>
          <w:sz w:val="22"/>
          <w:szCs w:val="22"/>
        </w:rPr>
      </w:pPr>
      <w:r>
        <w:rPr>
          <w:noProof/>
        </w:rPr>
        <w:drawing>
          <wp:inline distT="0" distB="0" distL="0" distR="0" wp14:anchorId="2816F502" wp14:editId="434B5464">
            <wp:extent cx="6330950" cy="2349661"/>
            <wp:effectExtent l="0" t="0" r="0" b="0"/>
            <wp:docPr id="338871713" name="Grafico 1">
              <a:extLst xmlns:a="http://schemas.openxmlformats.org/drawingml/2006/main">
                <a:ext uri="{FF2B5EF4-FFF2-40B4-BE49-F238E27FC236}">
                  <a16:creationId xmlns:a16="http://schemas.microsoft.com/office/drawing/2014/main" id="{5B93E283-A77E-3A4F-12BC-8357C35BF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FF5EAA" w14:textId="3154AD89" w:rsidR="00DD07AE" w:rsidRPr="00B21F32" w:rsidRDefault="00FF7418" w:rsidP="00086249">
      <w:pPr>
        <w:autoSpaceDE w:val="0"/>
        <w:autoSpaceDN w:val="0"/>
        <w:adjustRightInd w:val="0"/>
        <w:spacing w:after="12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br w:type="page"/>
      </w:r>
      <w:r w:rsidR="00B21F32">
        <w:rPr>
          <w:rFonts w:ascii="Arial" w:hAnsi="Arial" w:cs="Arial"/>
          <w:b/>
          <w:iCs/>
          <w:color w:val="1F497D" w:themeColor="text2"/>
          <w:sz w:val="26"/>
          <w:szCs w:val="26"/>
        </w:rPr>
        <w:lastRenderedPageBreak/>
        <w:t>I</w:t>
      </w:r>
      <w:r w:rsidR="00B21F32" w:rsidRPr="00B21F32">
        <w:rPr>
          <w:rFonts w:ascii="Arial" w:hAnsi="Arial" w:cs="Arial"/>
          <w:b/>
          <w:iCs/>
          <w:color w:val="1F497D" w:themeColor="text2"/>
          <w:sz w:val="26"/>
          <w:szCs w:val="26"/>
        </w:rPr>
        <w:t xml:space="preserve">mmigrati stranieri mediamente più giovani dei </w:t>
      </w:r>
      <w:r w:rsidR="009239A5" w:rsidRPr="00B21F32">
        <w:rPr>
          <w:rFonts w:ascii="Arial" w:hAnsi="Arial" w:cs="Arial"/>
          <w:b/>
          <w:iCs/>
          <w:color w:val="1F497D" w:themeColor="text2"/>
          <w:sz w:val="26"/>
          <w:szCs w:val="26"/>
        </w:rPr>
        <w:t>rimpatriati</w:t>
      </w:r>
      <w:r w:rsidR="00B21F32" w:rsidRPr="00B21F32">
        <w:rPr>
          <w:rFonts w:ascii="Arial" w:hAnsi="Arial" w:cs="Arial"/>
          <w:b/>
          <w:iCs/>
          <w:color w:val="1F497D" w:themeColor="text2"/>
          <w:sz w:val="26"/>
          <w:szCs w:val="26"/>
        </w:rPr>
        <w:t xml:space="preserve"> italiani</w:t>
      </w:r>
    </w:p>
    <w:p w14:paraId="2EE7B501" w14:textId="3DE31F07" w:rsidR="005E60B9" w:rsidRDefault="00B61D89" w:rsidP="00B61D89">
      <w:pPr>
        <w:autoSpaceDE w:val="0"/>
        <w:autoSpaceDN w:val="0"/>
        <w:adjustRightInd w:val="0"/>
        <w:spacing w:after="120"/>
        <w:jc w:val="both"/>
        <w:rPr>
          <w:rFonts w:ascii="Arial" w:hAnsi="Arial" w:cs="Arial"/>
          <w:iCs/>
          <w:sz w:val="22"/>
          <w:szCs w:val="22"/>
        </w:rPr>
      </w:pPr>
      <w:r w:rsidRPr="00B61D89">
        <w:rPr>
          <w:rFonts w:ascii="Arial" w:hAnsi="Arial" w:cs="Arial"/>
          <w:iCs/>
          <w:sz w:val="22"/>
          <w:szCs w:val="22"/>
        </w:rPr>
        <w:t xml:space="preserve">Nell’ultimo decennio, </w:t>
      </w:r>
      <w:r w:rsidR="00C779D7">
        <w:rPr>
          <w:rFonts w:ascii="Arial" w:hAnsi="Arial" w:cs="Arial"/>
          <w:iCs/>
          <w:sz w:val="22"/>
          <w:szCs w:val="22"/>
        </w:rPr>
        <w:t>i rimpatri</w:t>
      </w:r>
      <w:r w:rsidRPr="00B61D89">
        <w:rPr>
          <w:rFonts w:ascii="Arial" w:hAnsi="Arial" w:cs="Arial"/>
          <w:iCs/>
          <w:sz w:val="22"/>
          <w:szCs w:val="22"/>
        </w:rPr>
        <w:t xml:space="preserve"> dei cittadini italiani hanno registrato una tendenza crescente fino al 2019 (68mila), un calo in corrispondenza dell’anno della pandemia (56mila) e un rialzo nei due anni successivi, quando si sono contati circa 75mila rientri di connazionali l’anno. Nel biennio 2023-24, invece, il numero di rimpatri torna a scendere</w:t>
      </w:r>
      <w:r w:rsidR="00C779D7">
        <w:rPr>
          <w:rFonts w:ascii="Arial" w:hAnsi="Arial" w:cs="Arial"/>
          <w:iCs/>
          <w:sz w:val="22"/>
          <w:szCs w:val="22"/>
        </w:rPr>
        <w:t xml:space="preserve"> (</w:t>
      </w:r>
      <w:r w:rsidRPr="00B61D89">
        <w:rPr>
          <w:rFonts w:ascii="Arial" w:hAnsi="Arial" w:cs="Arial"/>
          <w:iCs/>
          <w:sz w:val="22"/>
          <w:szCs w:val="22"/>
        </w:rPr>
        <w:t>61mila nel 2023 e 53mila nel 2024</w:t>
      </w:r>
      <w:r w:rsidR="00C779D7">
        <w:rPr>
          <w:rFonts w:ascii="Arial" w:hAnsi="Arial" w:cs="Arial"/>
          <w:iCs/>
          <w:sz w:val="22"/>
          <w:szCs w:val="22"/>
        </w:rPr>
        <w:t>)</w:t>
      </w:r>
      <w:r w:rsidRPr="00B61D89">
        <w:rPr>
          <w:rFonts w:ascii="Arial" w:hAnsi="Arial" w:cs="Arial"/>
          <w:iCs/>
          <w:sz w:val="22"/>
          <w:szCs w:val="22"/>
        </w:rPr>
        <w:t xml:space="preserve">. </w:t>
      </w:r>
    </w:p>
    <w:p w14:paraId="7CA40D8D" w14:textId="12574AD3" w:rsidR="00B61D89" w:rsidRDefault="007E0693" w:rsidP="00B61D89">
      <w:pPr>
        <w:autoSpaceDE w:val="0"/>
        <w:autoSpaceDN w:val="0"/>
        <w:adjustRightInd w:val="0"/>
        <w:spacing w:after="120"/>
        <w:jc w:val="both"/>
        <w:rPr>
          <w:rFonts w:ascii="Arial" w:hAnsi="Arial" w:cs="Arial"/>
          <w:iCs/>
          <w:sz w:val="22"/>
          <w:szCs w:val="22"/>
        </w:rPr>
      </w:pPr>
      <w:r w:rsidRPr="00B61D89">
        <w:rPr>
          <w:rFonts w:ascii="Arial" w:hAnsi="Arial" w:cs="Arial"/>
          <w:iCs/>
          <w:sz w:val="22"/>
          <w:szCs w:val="22"/>
        </w:rPr>
        <w:t xml:space="preserve">Così come per tutti i fenomeni migratori, anche i rimpatri risentono molto degli effetti congiunturali di periodo. </w:t>
      </w:r>
      <w:r w:rsidR="00DD07AE" w:rsidRPr="00B61D89">
        <w:rPr>
          <w:rFonts w:ascii="Arial" w:hAnsi="Arial" w:cs="Arial"/>
          <w:iCs/>
          <w:sz w:val="22"/>
          <w:szCs w:val="22"/>
        </w:rPr>
        <w:t>L’andamento dei</w:t>
      </w:r>
      <w:r w:rsidRPr="00B61D89">
        <w:rPr>
          <w:rFonts w:ascii="Arial" w:hAnsi="Arial" w:cs="Arial"/>
          <w:iCs/>
          <w:sz w:val="22"/>
          <w:szCs w:val="22"/>
        </w:rPr>
        <w:t xml:space="preserve"> ritorni in patria pu</w:t>
      </w:r>
      <w:r w:rsidR="00682961" w:rsidRPr="00B61D89">
        <w:rPr>
          <w:rFonts w:ascii="Arial" w:hAnsi="Arial" w:cs="Arial"/>
          <w:iCs/>
          <w:sz w:val="22"/>
          <w:szCs w:val="22"/>
        </w:rPr>
        <w:t xml:space="preserve">ò essere dovuto a molteplici fattori, ciascuno dei quali </w:t>
      </w:r>
      <w:r w:rsidR="006017ED" w:rsidRPr="00B61D89">
        <w:rPr>
          <w:rFonts w:ascii="Arial" w:hAnsi="Arial" w:cs="Arial"/>
          <w:iCs/>
          <w:sz w:val="22"/>
          <w:szCs w:val="22"/>
        </w:rPr>
        <w:t>gioca</w:t>
      </w:r>
      <w:r w:rsidR="00682961" w:rsidRPr="00B61D89">
        <w:rPr>
          <w:rFonts w:ascii="Arial" w:hAnsi="Arial" w:cs="Arial"/>
          <w:iCs/>
          <w:sz w:val="22"/>
          <w:szCs w:val="22"/>
        </w:rPr>
        <w:t xml:space="preserve"> un ruolo più o meno significativo sulla decisione di </w:t>
      </w:r>
      <w:r w:rsidR="00B61D89">
        <w:rPr>
          <w:rFonts w:ascii="Arial" w:hAnsi="Arial" w:cs="Arial"/>
          <w:iCs/>
          <w:sz w:val="22"/>
          <w:szCs w:val="22"/>
        </w:rPr>
        <w:t xml:space="preserve">porre fine al progetto migratorio e </w:t>
      </w:r>
      <w:r w:rsidR="00682961" w:rsidRPr="00B61D89">
        <w:rPr>
          <w:rFonts w:ascii="Arial" w:hAnsi="Arial" w:cs="Arial"/>
          <w:iCs/>
          <w:sz w:val="22"/>
          <w:szCs w:val="22"/>
        </w:rPr>
        <w:t>rientrare in Italia.</w:t>
      </w:r>
      <w:r w:rsidR="00567555" w:rsidRPr="00B61D89">
        <w:rPr>
          <w:rFonts w:ascii="Arial" w:hAnsi="Arial" w:cs="Arial"/>
          <w:iCs/>
          <w:sz w:val="22"/>
          <w:szCs w:val="22"/>
        </w:rPr>
        <w:t xml:space="preserve"> Tra essi</w:t>
      </w:r>
      <w:r w:rsidR="00B61D89" w:rsidRPr="00B61D89">
        <w:rPr>
          <w:rFonts w:ascii="Arial" w:hAnsi="Arial" w:cs="Arial"/>
          <w:iCs/>
          <w:sz w:val="22"/>
          <w:szCs w:val="22"/>
        </w:rPr>
        <w:t xml:space="preserve">, </w:t>
      </w:r>
      <w:r w:rsidR="00567555" w:rsidRPr="00B61D89">
        <w:rPr>
          <w:rFonts w:ascii="Arial" w:hAnsi="Arial" w:cs="Arial"/>
          <w:iCs/>
          <w:sz w:val="22"/>
          <w:szCs w:val="22"/>
        </w:rPr>
        <w:t>si possono</w:t>
      </w:r>
      <w:r w:rsidR="006017ED" w:rsidRPr="00B61D89">
        <w:rPr>
          <w:rFonts w:ascii="Arial" w:hAnsi="Arial" w:cs="Arial"/>
          <w:iCs/>
          <w:sz w:val="22"/>
          <w:szCs w:val="22"/>
        </w:rPr>
        <w:t xml:space="preserve"> annoverare </w:t>
      </w:r>
      <w:r w:rsidR="00C61207">
        <w:rPr>
          <w:rFonts w:ascii="Arial" w:hAnsi="Arial" w:cs="Arial"/>
          <w:iCs/>
          <w:sz w:val="22"/>
          <w:szCs w:val="22"/>
        </w:rPr>
        <w:t xml:space="preserve">un </w:t>
      </w:r>
      <w:r w:rsidR="00C31E31">
        <w:rPr>
          <w:rFonts w:ascii="Arial" w:hAnsi="Arial" w:cs="Arial"/>
          <w:iCs/>
          <w:sz w:val="22"/>
          <w:szCs w:val="22"/>
        </w:rPr>
        <w:t>mut</w:t>
      </w:r>
      <w:r w:rsidR="00FA6168">
        <w:rPr>
          <w:rFonts w:ascii="Arial" w:hAnsi="Arial" w:cs="Arial"/>
          <w:iCs/>
          <w:sz w:val="22"/>
          <w:szCs w:val="22"/>
        </w:rPr>
        <w:t>at</w:t>
      </w:r>
      <w:r w:rsidR="00C61207">
        <w:rPr>
          <w:rFonts w:ascii="Arial" w:hAnsi="Arial" w:cs="Arial"/>
          <w:iCs/>
          <w:sz w:val="22"/>
          <w:szCs w:val="22"/>
        </w:rPr>
        <w:t>o</w:t>
      </w:r>
      <w:r w:rsidR="00FA6168">
        <w:rPr>
          <w:rFonts w:ascii="Arial" w:hAnsi="Arial" w:cs="Arial"/>
          <w:iCs/>
          <w:sz w:val="22"/>
          <w:szCs w:val="22"/>
        </w:rPr>
        <w:t xml:space="preserve"> </w:t>
      </w:r>
      <w:r w:rsidR="00C61207">
        <w:rPr>
          <w:rFonts w:ascii="Arial" w:hAnsi="Arial" w:cs="Arial"/>
          <w:iCs/>
          <w:sz w:val="22"/>
          <w:szCs w:val="22"/>
        </w:rPr>
        <w:t>divario tra Paesi esteri e Italia i</w:t>
      </w:r>
      <w:r w:rsidR="00FA6168">
        <w:rPr>
          <w:rFonts w:ascii="Arial" w:hAnsi="Arial" w:cs="Arial"/>
          <w:iCs/>
          <w:sz w:val="22"/>
          <w:szCs w:val="22"/>
        </w:rPr>
        <w:t xml:space="preserve">n termini di condizioni </w:t>
      </w:r>
      <w:r w:rsidR="0079593F">
        <w:rPr>
          <w:rFonts w:ascii="Arial" w:hAnsi="Arial" w:cs="Arial"/>
          <w:iCs/>
          <w:sz w:val="22"/>
          <w:szCs w:val="22"/>
        </w:rPr>
        <w:t>socioeconomiche</w:t>
      </w:r>
      <w:r w:rsidR="00FA6168">
        <w:rPr>
          <w:rFonts w:ascii="Arial" w:hAnsi="Arial" w:cs="Arial"/>
          <w:iCs/>
          <w:sz w:val="22"/>
          <w:szCs w:val="22"/>
        </w:rPr>
        <w:t xml:space="preserve"> e qualità della vita, l’efficacia </w:t>
      </w:r>
      <w:r w:rsidR="00FA6168" w:rsidRPr="00141F93">
        <w:rPr>
          <w:rFonts w:ascii="Arial" w:hAnsi="Arial" w:cs="Arial"/>
          <w:iCs/>
          <w:sz w:val="22"/>
          <w:szCs w:val="22"/>
        </w:rPr>
        <w:t>delle politiche di defiscalizzazione per incentivare il rientro dei lavoratori</w:t>
      </w:r>
      <w:r w:rsidR="00FA6168">
        <w:rPr>
          <w:rFonts w:ascii="Arial" w:hAnsi="Arial" w:cs="Arial"/>
          <w:iCs/>
          <w:sz w:val="22"/>
          <w:szCs w:val="22"/>
        </w:rPr>
        <w:t xml:space="preserve">, il soddisfacimento del proprio progetto di vita sul piano personale, il desiderio di ricongiungersi ai propri affetti sul piano </w:t>
      </w:r>
      <w:r w:rsidR="001C4376">
        <w:rPr>
          <w:rFonts w:ascii="Arial" w:hAnsi="Arial" w:cs="Arial"/>
          <w:iCs/>
          <w:sz w:val="22"/>
          <w:szCs w:val="22"/>
        </w:rPr>
        <w:t>personale</w:t>
      </w:r>
      <w:r w:rsidR="00FA6168">
        <w:rPr>
          <w:rFonts w:ascii="Arial" w:hAnsi="Arial" w:cs="Arial"/>
          <w:iCs/>
          <w:sz w:val="22"/>
          <w:szCs w:val="22"/>
        </w:rPr>
        <w:t xml:space="preserve">. Non vanno poi trascurati effetti di </w:t>
      </w:r>
      <w:r w:rsidR="00FA6168" w:rsidRPr="00885259">
        <w:rPr>
          <w:rFonts w:ascii="Arial" w:hAnsi="Arial" w:cs="Arial"/>
          <w:i/>
          <w:iCs/>
          <w:sz w:val="22"/>
          <w:szCs w:val="22"/>
        </w:rPr>
        <w:t>shock</w:t>
      </w:r>
      <w:r w:rsidR="00FA6168">
        <w:rPr>
          <w:rFonts w:ascii="Arial" w:hAnsi="Arial" w:cs="Arial"/>
          <w:iCs/>
          <w:sz w:val="22"/>
          <w:szCs w:val="22"/>
        </w:rPr>
        <w:t xml:space="preserve"> momentanei, quali ad </w:t>
      </w:r>
      <w:r w:rsidR="000C6FC4">
        <w:rPr>
          <w:rFonts w:ascii="Arial" w:hAnsi="Arial" w:cs="Arial"/>
          <w:iCs/>
          <w:sz w:val="22"/>
          <w:szCs w:val="22"/>
        </w:rPr>
        <w:t xml:space="preserve">esempio </w:t>
      </w:r>
      <w:r w:rsidR="000C6FC4" w:rsidRPr="00B61D89">
        <w:rPr>
          <w:rFonts w:ascii="Arial" w:hAnsi="Arial" w:cs="Arial"/>
          <w:iCs/>
          <w:sz w:val="22"/>
          <w:szCs w:val="22"/>
        </w:rPr>
        <w:t>crisi</w:t>
      </w:r>
      <w:r w:rsidR="006017ED" w:rsidRPr="00B61D89">
        <w:rPr>
          <w:rFonts w:ascii="Arial" w:hAnsi="Arial" w:cs="Arial"/>
          <w:iCs/>
          <w:sz w:val="22"/>
          <w:szCs w:val="22"/>
        </w:rPr>
        <w:t xml:space="preserve"> economic</w:t>
      </w:r>
      <w:r w:rsidR="006F4957" w:rsidRPr="00B61D89">
        <w:rPr>
          <w:rFonts w:ascii="Arial" w:hAnsi="Arial" w:cs="Arial"/>
          <w:iCs/>
          <w:sz w:val="22"/>
          <w:szCs w:val="22"/>
        </w:rPr>
        <w:t>he</w:t>
      </w:r>
      <w:r w:rsidR="00567555" w:rsidRPr="00B61D89">
        <w:rPr>
          <w:rFonts w:ascii="Arial" w:hAnsi="Arial" w:cs="Arial"/>
          <w:iCs/>
          <w:sz w:val="22"/>
          <w:szCs w:val="22"/>
        </w:rPr>
        <w:t>,</w:t>
      </w:r>
      <w:r w:rsidR="00FA6168">
        <w:rPr>
          <w:rFonts w:ascii="Arial" w:hAnsi="Arial" w:cs="Arial"/>
          <w:iCs/>
          <w:sz w:val="22"/>
          <w:szCs w:val="22"/>
        </w:rPr>
        <w:t xml:space="preserve"> emergenze sanitarie o episodi bellici</w:t>
      </w:r>
      <w:r w:rsidR="00B61D89" w:rsidRPr="00B61D89">
        <w:rPr>
          <w:rFonts w:ascii="Arial" w:hAnsi="Arial" w:cs="Arial"/>
          <w:iCs/>
          <w:sz w:val="22"/>
          <w:szCs w:val="22"/>
        </w:rPr>
        <w:t xml:space="preserve">. </w:t>
      </w:r>
    </w:p>
    <w:p w14:paraId="518416B6" w14:textId="4625CBB0" w:rsidR="001D7A90" w:rsidRDefault="001D7A90" w:rsidP="001D7A90">
      <w:pPr>
        <w:autoSpaceDE w:val="0"/>
        <w:autoSpaceDN w:val="0"/>
        <w:adjustRightInd w:val="0"/>
        <w:spacing w:after="120"/>
        <w:jc w:val="both"/>
        <w:rPr>
          <w:rFonts w:ascii="Arial" w:hAnsi="Arial" w:cs="Arial"/>
          <w:iCs/>
          <w:sz w:val="22"/>
          <w:szCs w:val="22"/>
        </w:rPr>
      </w:pPr>
      <w:r>
        <w:rPr>
          <w:rFonts w:ascii="Arial" w:hAnsi="Arial" w:cs="Arial"/>
          <w:iCs/>
          <w:sz w:val="22"/>
          <w:szCs w:val="22"/>
        </w:rPr>
        <w:t xml:space="preserve">Tra i rimpatri e le immigrazioni dei cittadini stranieri esistono delle differenze, oltre che nei fattori all’origine dei movimenti, anche nella struttura per età e sesso e nei territori di origine e destinazione dei percorsi migratori. </w:t>
      </w:r>
    </w:p>
    <w:p w14:paraId="349ADD02" w14:textId="7933C4B0" w:rsidR="001D7A90" w:rsidRDefault="001D7A90" w:rsidP="000A3F78">
      <w:pPr>
        <w:autoSpaceDE w:val="0"/>
        <w:autoSpaceDN w:val="0"/>
        <w:adjustRightInd w:val="0"/>
        <w:spacing w:after="120"/>
        <w:jc w:val="both"/>
        <w:rPr>
          <w:rFonts w:ascii="Arial" w:hAnsi="Arial" w:cs="Arial"/>
          <w:iCs/>
          <w:sz w:val="22"/>
          <w:szCs w:val="22"/>
        </w:rPr>
      </w:pPr>
      <w:r>
        <w:rPr>
          <w:rFonts w:ascii="Arial" w:hAnsi="Arial" w:cs="Arial"/>
          <w:iCs/>
          <w:sz w:val="22"/>
          <w:szCs w:val="22"/>
        </w:rPr>
        <w:t xml:space="preserve">Riguardo </w:t>
      </w:r>
      <w:r w:rsidR="00C61207">
        <w:rPr>
          <w:rFonts w:ascii="Arial" w:hAnsi="Arial" w:cs="Arial"/>
          <w:iCs/>
          <w:sz w:val="22"/>
          <w:szCs w:val="22"/>
        </w:rPr>
        <w:t>al</w:t>
      </w:r>
      <w:r>
        <w:rPr>
          <w:rFonts w:ascii="Arial" w:hAnsi="Arial" w:cs="Arial"/>
          <w:iCs/>
          <w:sz w:val="22"/>
          <w:szCs w:val="22"/>
        </w:rPr>
        <w:t>la distribuzione per età, s</w:t>
      </w:r>
      <w:r w:rsidR="00460281">
        <w:rPr>
          <w:rFonts w:ascii="Arial" w:hAnsi="Arial" w:cs="Arial"/>
          <w:iCs/>
          <w:sz w:val="22"/>
          <w:szCs w:val="22"/>
        </w:rPr>
        <w:t xml:space="preserve">e la metà (50,7%) degli immigrati stranieri </w:t>
      </w:r>
      <w:r w:rsidR="00264F3B">
        <w:rPr>
          <w:rFonts w:ascii="Arial" w:hAnsi="Arial" w:cs="Arial"/>
          <w:iCs/>
          <w:sz w:val="22"/>
          <w:szCs w:val="22"/>
        </w:rPr>
        <w:t xml:space="preserve">nel biennio 2023-24 </w:t>
      </w:r>
      <w:r w:rsidR="00460281">
        <w:rPr>
          <w:rFonts w:ascii="Arial" w:hAnsi="Arial" w:cs="Arial"/>
          <w:iCs/>
          <w:sz w:val="22"/>
          <w:szCs w:val="22"/>
        </w:rPr>
        <w:t>ha un’età compresa tra i 15 e i 34 anni, tra i rimpatriati la quota di giovani nella stessa classe di età è decisamente inferiore (32,6%). La percentuale di individui con almeno 45 anni di età è invece maggiore tra i rimpatriati (32,0%) rispetto agli immigrati</w:t>
      </w:r>
      <w:r w:rsidR="00C779D7">
        <w:rPr>
          <w:rFonts w:ascii="Arial" w:hAnsi="Arial" w:cs="Arial"/>
          <w:iCs/>
          <w:sz w:val="22"/>
          <w:szCs w:val="22"/>
        </w:rPr>
        <w:t xml:space="preserve"> stranieri</w:t>
      </w:r>
      <w:r w:rsidR="00460281">
        <w:rPr>
          <w:rFonts w:ascii="Arial" w:hAnsi="Arial" w:cs="Arial"/>
          <w:iCs/>
          <w:sz w:val="22"/>
          <w:szCs w:val="22"/>
        </w:rPr>
        <w:t xml:space="preserve"> (17,7%). </w:t>
      </w:r>
      <w:r>
        <w:rPr>
          <w:rFonts w:ascii="Arial" w:hAnsi="Arial" w:cs="Arial"/>
          <w:iCs/>
          <w:sz w:val="22"/>
          <w:szCs w:val="22"/>
        </w:rPr>
        <w:t>I</w:t>
      </w:r>
      <w:r w:rsidR="00C61207">
        <w:rPr>
          <w:rFonts w:ascii="Arial" w:hAnsi="Arial" w:cs="Arial"/>
          <w:iCs/>
          <w:sz w:val="22"/>
          <w:szCs w:val="22"/>
        </w:rPr>
        <w:t>n estrema sintesi, i</w:t>
      </w:r>
      <w:r>
        <w:rPr>
          <w:rFonts w:ascii="Arial" w:hAnsi="Arial" w:cs="Arial"/>
          <w:iCs/>
          <w:sz w:val="22"/>
          <w:szCs w:val="22"/>
        </w:rPr>
        <w:t xml:space="preserve"> rimpatriati </w:t>
      </w:r>
      <w:r w:rsidR="00C61207">
        <w:rPr>
          <w:rFonts w:ascii="Arial" w:hAnsi="Arial" w:cs="Arial"/>
          <w:iCs/>
          <w:sz w:val="22"/>
          <w:szCs w:val="22"/>
        </w:rPr>
        <w:t>presentano</w:t>
      </w:r>
      <w:r>
        <w:rPr>
          <w:rFonts w:ascii="Arial" w:hAnsi="Arial" w:cs="Arial"/>
          <w:iCs/>
          <w:sz w:val="22"/>
          <w:szCs w:val="22"/>
        </w:rPr>
        <w:t xml:space="preserve"> un’età mediana di circa </w:t>
      </w:r>
      <w:r w:rsidR="000A3F78">
        <w:rPr>
          <w:rFonts w:ascii="Arial" w:hAnsi="Arial" w:cs="Arial"/>
          <w:iCs/>
          <w:sz w:val="22"/>
          <w:szCs w:val="22"/>
        </w:rPr>
        <w:t>34</w:t>
      </w:r>
      <w:r>
        <w:rPr>
          <w:rFonts w:ascii="Arial" w:hAnsi="Arial" w:cs="Arial"/>
          <w:iCs/>
          <w:sz w:val="22"/>
          <w:szCs w:val="22"/>
        </w:rPr>
        <w:t xml:space="preserve"> anni, mentre gli immigrati stranieri sono più giovani di </w:t>
      </w:r>
      <w:r w:rsidR="005E60B9">
        <w:rPr>
          <w:rFonts w:ascii="Arial" w:hAnsi="Arial" w:cs="Arial"/>
          <w:iCs/>
          <w:sz w:val="22"/>
          <w:szCs w:val="22"/>
        </w:rPr>
        <w:br/>
      </w:r>
      <w:r>
        <w:rPr>
          <w:rFonts w:ascii="Arial" w:hAnsi="Arial" w:cs="Arial"/>
          <w:iCs/>
          <w:sz w:val="22"/>
          <w:szCs w:val="22"/>
        </w:rPr>
        <w:t xml:space="preserve">circa </w:t>
      </w:r>
      <w:r w:rsidR="000A3F78">
        <w:rPr>
          <w:rFonts w:ascii="Arial" w:hAnsi="Arial" w:cs="Arial"/>
          <w:iCs/>
          <w:sz w:val="22"/>
          <w:szCs w:val="22"/>
        </w:rPr>
        <w:t>5</w:t>
      </w:r>
      <w:r>
        <w:rPr>
          <w:rFonts w:ascii="Arial" w:hAnsi="Arial" w:cs="Arial"/>
          <w:iCs/>
          <w:sz w:val="22"/>
          <w:szCs w:val="22"/>
        </w:rPr>
        <w:t xml:space="preserve"> anni</w:t>
      </w:r>
      <w:r w:rsidR="00D21D9C">
        <w:rPr>
          <w:rFonts w:ascii="Arial" w:hAnsi="Arial" w:cs="Arial"/>
          <w:iCs/>
          <w:sz w:val="22"/>
          <w:szCs w:val="22"/>
        </w:rPr>
        <w:t xml:space="preserve"> (Figura 3)</w:t>
      </w:r>
      <w:r>
        <w:rPr>
          <w:rFonts w:ascii="Arial" w:hAnsi="Arial" w:cs="Arial"/>
          <w:iCs/>
          <w:sz w:val="22"/>
          <w:szCs w:val="22"/>
        </w:rPr>
        <w:t xml:space="preserve">. Il </w:t>
      </w:r>
      <w:r w:rsidR="00C61207">
        <w:rPr>
          <w:rFonts w:ascii="Arial" w:hAnsi="Arial" w:cs="Arial"/>
          <w:iCs/>
          <w:sz w:val="22"/>
          <w:szCs w:val="22"/>
        </w:rPr>
        <w:t xml:space="preserve">rapporto </w:t>
      </w:r>
      <w:r>
        <w:rPr>
          <w:rFonts w:ascii="Arial" w:hAnsi="Arial" w:cs="Arial"/>
          <w:iCs/>
          <w:sz w:val="22"/>
          <w:szCs w:val="22"/>
        </w:rPr>
        <w:t xml:space="preserve">di genere è </w:t>
      </w:r>
      <w:r w:rsidR="00C779D7">
        <w:rPr>
          <w:rFonts w:ascii="Arial" w:hAnsi="Arial" w:cs="Arial"/>
          <w:iCs/>
          <w:sz w:val="22"/>
          <w:szCs w:val="22"/>
        </w:rPr>
        <w:t xml:space="preserve">a favore degli uomini sia </w:t>
      </w:r>
      <w:r w:rsidR="00C61207">
        <w:rPr>
          <w:rFonts w:ascii="Arial" w:hAnsi="Arial" w:cs="Arial"/>
          <w:iCs/>
          <w:sz w:val="22"/>
          <w:szCs w:val="22"/>
        </w:rPr>
        <w:t>tra</w:t>
      </w:r>
      <w:r w:rsidR="00C779D7">
        <w:rPr>
          <w:rFonts w:ascii="Arial" w:hAnsi="Arial" w:cs="Arial"/>
          <w:iCs/>
          <w:sz w:val="22"/>
          <w:szCs w:val="22"/>
        </w:rPr>
        <w:t xml:space="preserve"> i</w:t>
      </w:r>
      <w:r>
        <w:rPr>
          <w:rFonts w:ascii="Arial" w:hAnsi="Arial" w:cs="Arial"/>
          <w:iCs/>
          <w:sz w:val="22"/>
          <w:szCs w:val="22"/>
        </w:rPr>
        <w:t xml:space="preserve"> </w:t>
      </w:r>
      <w:r w:rsidRPr="00264F3B">
        <w:rPr>
          <w:rFonts w:ascii="Arial" w:hAnsi="Arial" w:cs="Arial"/>
          <w:iCs/>
          <w:sz w:val="22"/>
          <w:szCs w:val="22"/>
        </w:rPr>
        <w:t>rimpatriati</w:t>
      </w:r>
      <w:r w:rsidR="00452621">
        <w:rPr>
          <w:rFonts w:ascii="Arial" w:hAnsi="Arial" w:cs="Arial"/>
          <w:iCs/>
          <w:sz w:val="22"/>
          <w:szCs w:val="22"/>
        </w:rPr>
        <w:t xml:space="preserve"> sia </w:t>
      </w:r>
      <w:r w:rsidR="00C61207">
        <w:rPr>
          <w:rFonts w:ascii="Arial" w:hAnsi="Arial" w:cs="Arial"/>
          <w:iCs/>
          <w:sz w:val="22"/>
          <w:szCs w:val="22"/>
        </w:rPr>
        <w:t>tra</w:t>
      </w:r>
      <w:r w:rsidR="00452621">
        <w:rPr>
          <w:rFonts w:ascii="Arial" w:hAnsi="Arial" w:cs="Arial"/>
          <w:iCs/>
          <w:sz w:val="22"/>
          <w:szCs w:val="22"/>
        </w:rPr>
        <w:t xml:space="preserve"> </w:t>
      </w:r>
      <w:r w:rsidRPr="00264F3B">
        <w:rPr>
          <w:rFonts w:ascii="Arial" w:hAnsi="Arial" w:cs="Arial"/>
          <w:iCs/>
          <w:sz w:val="22"/>
          <w:szCs w:val="22"/>
        </w:rPr>
        <w:t>i cittadini stranieri (</w:t>
      </w:r>
      <w:r w:rsidR="00452621">
        <w:rPr>
          <w:rFonts w:ascii="Arial" w:hAnsi="Arial" w:cs="Arial"/>
          <w:iCs/>
          <w:sz w:val="22"/>
          <w:szCs w:val="22"/>
        </w:rPr>
        <w:t>57</w:t>
      </w:r>
      <w:r w:rsidRPr="00264F3B">
        <w:rPr>
          <w:rFonts w:ascii="Arial" w:hAnsi="Arial" w:cs="Arial"/>
          <w:iCs/>
          <w:sz w:val="22"/>
          <w:szCs w:val="22"/>
        </w:rPr>
        <w:t>% uomini e 4</w:t>
      </w:r>
      <w:r w:rsidR="00264F3B" w:rsidRPr="00264F3B">
        <w:rPr>
          <w:rFonts w:ascii="Arial" w:hAnsi="Arial" w:cs="Arial"/>
          <w:iCs/>
          <w:sz w:val="22"/>
          <w:szCs w:val="22"/>
        </w:rPr>
        <w:t>3</w:t>
      </w:r>
      <w:r w:rsidRPr="00264F3B">
        <w:rPr>
          <w:rFonts w:ascii="Arial" w:hAnsi="Arial" w:cs="Arial"/>
          <w:iCs/>
          <w:sz w:val="22"/>
          <w:szCs w:val="22"/>
        </w:rPr>
        <w:t>% donne</w:t>
      </w:r>
      <w:r w:rsidR="00452621">
        <w:rPr>
          <w:rFonts w:ascii="Arial" w:hAnsi="Arial" w:cs="Arial"/>
          <w:iCs/>
          <w:sz w:val="22"/>
          <w:szCs w:val="22"/>
        </w:rPr>
        <w:t>, nel biennio 2023-24</w:t>
      </w:r>
      <w:r w:rsidRPr="00264F3B">
        <w:rPr>
          <w:rFonts w:ascii="Arial" w:hAnsi="Arial" w:cs="Arial"/>
          <w:iCs/>
          <w:sz w:val="22"/>
          <w:szCs w:val="22"/>
        </w:rPr>
        <w:t>).</w:t>
      </w:r>
      <w:r>
        <w:rPr>
          <w:rFonts w:ascii="Arial" w:hAnsi="Arial" w:cs="Arial"/>
          <w:iCs/>
          <w:sz w:val="22"/>
          <w:szCs w:val="22"/>
        </w:rPr>
        <w:t xml:space="preserve"> </w:t>
      </w:r>
    </w:p>
    <w:p w14:paraId="18E0A811" w14:textId="24C4C650" w:rsidR="00B61D89" w:rsidRDefault="001D7A90" w:rsidP="00B61D89">
      <w:pPr>
        <w:autoSpaceDE w:val="0"/>
        <w:autoSpaceDN w:val="0"/>
        <w:adjustRightInd w:val="0"/>
        <w:spacing w:after="120"/>
        <w:jc w:val="both"/>
        <w:rPr>
          <w:rFonts w:ascii="Arial" w:hAnsi="Arial" w:cs="Arial"/>
          <w:iCs/>
          <w:sz w:val="22"/>
          <w:szCs w:val="22"/>
        </w:rPr>
      </w:pPr>
      <w:r>
        <w:rPr>
          <w:rFonts w:ascii="Arial" w:hAnsi="Arial" w:cs="Arial"/>
          <w:iCs/>
          <w:sz w:val="22"/>
          <w:szCs w:val="22"/>
        </w:rPr>
        <w:t xml:space="preserve">I </w:t>
      </w:r>
      <w:r w:rsidR="00264F3B">
        <w:rPr>
          <w:rFonts w:ascii="Arial" w:hAnsi="Arial" w:cs="Arial"/>
          <w:iCs/>
          <w:sz w:val="22"/>
          <w:szCs w:val="22"/>
        </w:rPr>
        <w:t>rimpatriati provengono in larga parte da Paesi che</w:t>
      </w:r>
      <w:r>
        <w:rPr>
          <w:rFonts w:ascii="Arial" w:hAnsi="Arial" w:cs="Arial"/>
          <w:iCs/>
          <w:sz w:val="22"/>
          <w:szCs w:val="22"/>
        </w:rPr>
        <w:t xml:space="preserve">, in passato, sono stati mete di emigrazione italiana. </w:t>
      </w:r>
      <w:r w:rsidR="00264F3B">
        <w:rPr>
          <w:rFonts w:ascii="Arial" w:hAnsi="Arial" w:cs="Arial"/>
          <w:iCs/>
          <w:sz w:val="22"/>
          <w:szCs w:val="22"/>
        </w:rPr>
        <w:t>Nel biennio 2023-24, Germania e Regno Unito si confermano come i primi Paesi di provenienza</w:t>
      </w:r>
      <w:r w:rsidR="005E60B9">
        <w:rPr>
          <w:rFonts w:ascii="Arial" w:hAnsi="Arial" w:cs="Arial"/>
          <w:iCs/>
          <w:sz w:val="22"/>
          <w:szCs w:val="22"/>
        </w:rPr>
        <w:t xml:space="preserve"> di chi rientra</w:t>
      </w:r>
      <w:r w:rsidR="00264F3B">
        <w:rPr>
          <w:rFonts w:ascii="Arial" w:hAnsi="Arial" w:cs="Arial"/>
          <w:iCs/>
          <w:sz w:val="22"/>
          <w:szCs w:val="22"/>
        </w:rPr>
        <w:t>. Il 15</w:t>
      </w:r>
      <w:r w:rsidR="00806DA5">
        <w:rPr>
          <w:rFonts w:ascii="Arial" w:hAnsi="Arial" w:cs="Arial"/>
          <w:iCs/>
          <w:sz w:val="22"/>
          <w:szCs w:val="22"/>
        </w:rPr>
        <w:t>,2</w:t>
      </w:r>
      <w:r w:rsidR="00264F3B">
        <w:rPr>
          <w:rFonts w:ascii="Arial" w:hAnsi="Arial" w:cs="Arial"/>
          <w:iCs/>
          <w:sz w:val="22"/>
          <w:szCs w:val="22"/>
        </w:rPr>
        <w:t>% dei flussi di cittadini italiani proviene</w:t>
      </w:r>
      <w:r w:rsidR="00C61207">
        <w:rPr>
          <w:rFonts w:ascii="Arial" w:hAnsi="Arial" w:cs="Arial"/>
          <w:iCs/>
          <w:sz w:val="22"/>
          <w:szCs w:val="22"/>
        </w:rPr>
        <w:t>,</w:t>
      </w:r>
      <w:r w:rsidR="00264F3B">
        <w:rPr>
          <w:rFonts w:ascii="Arial" w:hAnsi="Arial" w:cs="Arial"/>
          <w:iCs/>
          <w:sz w:val="22"/>
          <w:szCs w:val="22"/>
        </w:rPr>
        <w:t xml:space="preserve"> </w:t>
      </w:r>
      <w:r w:rsidR="00C61207">
        <w:rPr>
          <w:rFonts w:ascii="Arial" w:hAnsi="Arial" w:cs="Arial"/>
          <w:iCs/>
          <w:sz w:val="22"/>
          <w:szCs w:val="22"/>
        </w:rPr>
        <w:t xml:space="preserve">infatti, </w:t>
      </w:r>
      <w:r w:rsidR="00264F3B">
        <w:rPr>
          <w:rFonts w:ascii="Arial" w:hAnsi="Arial" w:cs="Arial"/>
          <w:iCs/>
          <w:sz w:val="22"/>
          <w:szCs w:val="22"/>
        </w:rPr>
        <w:t>dalla Germania</w:t>
      </w:r>
      <w:r w:rsidR="00C61207">
        <w:rPr>
          <w:rFonts w:ascii="Arial" w:hAnsi="Arial" w:cs="Arial"/>
          <w:iCs/>
          <w:sz w:val="22"/>
          <w:szCs w:val="22"/>
        </w:rPr>
        <w:t xml:space="preserve"> e</w:t>
      </w:r>
      <w:r w:rsidR="00264F3B">
        <w:rPr>
          <w:rFonts w:ascii="Arial" w:hAnsi="Arial" w:cs="Arial"/>
          <w:iCs/>
          <w:sz w:val="22"/>
          <w:szCs w:val="22"/>
        </w:rPr>
        <w:t xml:space="preserve"> il 1</w:t>
      </w:r>
      <w:r w:rsidR="00806DA5">
        <w:rPr>
          <w:rFonts w:ascii="Arial" w:hAnsi="Arial" w:cs="Arial"/>
          <w:iCs/>
          <w:sz w:val="22"/>
          <w:szCs w:val="22"/>
        </w:rPr>
        <w:t>2,3</w:t>
      </w:r>
      <w:r w:rsidR="00264F3B">
        <w:rPr>
          <w:rFonts w:ascii="Arial" w:hAnsi="Arial" w:cs="Arial"/>
          <w:iCs/>
          <w:sz w:val="22"/>
          <w:szCs w:val="22"/>
        </w:rPr>
        <w:t>% dal Regno Unito. Seguono la Svizzera (</w:t>
      </w:r>
      <w:r w:rsidR="00806DA5">
        <w:rPr>
          <w:rFonts w:ascii="Arial" w:hAnsi="Arial" w:cs="Arial"/>
          <w:iCs/>
          <w:sz w:val="22"/>
          <w:szCs w:val="22"/>
        </w:rPr>
        <w:t>8,2</w:t>
      </w:r>
      <w:r w:rsidR="00264F3B">
        <w:rPr>
          <w:rFonts w:ascii="Arial" w:hAnsi="Arial" w:cs="Arial"/>
          <w:iCs/>
          <w:sz w:val="22"/>
          <w:szCs w:val="22"/>
        </w:rPr>
        <w:t>%), la Francia (</w:t>
      </w:r>
      <w:r w:rsidR="00806DA5">
        <w:rPr>
          <w:rFonts w:ascii="Arial" w:hAnsi="Arial" w:cs="Arial"/>
          <w:iCs/>
          <w:sz w:val="22"/>
          <w:szCs w:val="22"/>
        </w:rPr>
        <w:t>6</w:t>
      </w:r>
      <w:r w:rsidR="00264F3B">
        <w:rPr>
          <w:rFonts w:ascii="Arial" w:hAnsi="Arial" w:cs="Arial"/>
          <w:iCs/>
          <w:sz w:val="22"/>
          <w:szCs w:val="22"/>
        </w:rPr>
        <w:t xml:space="preserve">%) e, oltre oceano, </w:t>
      </w:r>
      <w:r w:rsidR="00C61207">
        <w:rPr>
          <w:rFonts w:ascii="Arial" w:hAnsi="Arial" w:cs="Arial"/>
          <w:iCs/>
          <w:sz w:val="22"/>
          <w:szCs w:val="22"/>
        </w:rPr>
        <w:t xml:space="preserve">gli </w:t>
      </w:r>
      <w:r w:rsidR="00264F3B">
        <w:rPr>
          <w:rFonts w:ascii="Arial" w:hAnsi="Arial" w:cs="Arial"/>
          <w:iCs/>
          <w:sz w:val="22"/>
          <w:szCs w:val="22"/>
        </w:rPr>
        <w:t>Stati Uniti (5,</w:t>
      </w:r>
      <w:r w:rsidR="00806DA5">
        <w:rPr>
          <w:rFonts w:ascii="Arial" w:hAnsi="Arial" w:cs="Arial"/>
          <w:iCs/>
          <w:sz w:val="22"/>
          <w:szCs w:val="22"/>
        </w:rPr>
        <w:t>6</w:t>
      </w:r>
      <w:r w:rsidR="00264F3B">
        <w:rPr>
          <w:rFonts w:ascii="Arial" w:hAnsi="Arial" w:cs="Arial"/>
          <w:iCs/>
          <w:sz w:val="22"/>
          <w:szCs w:val="22"/>
        </w:rPr>
        <w:t xml:space="preserve">%), </w:t>
      </w:r>
      <w:r w:rsidR="00C61207">
        <w:rPr>
          <w:rFonts w:ascii="Arial" w:hAnsi="Arial" w:cs="Arial"/>
          <w:iCs/>
          <w:sz w:val="22"/>
          <w:szCs w:val="22"/>
        </w:rPr>
        <w:t xml:space="preserve">il </w:t>
      </w:r>
      <w:r w:rsidR="00264F3B">
        <w:rPr>
          <w:rFonts w:ascii="Arial" w:hAnsi="Arial" w:cs="Arial"/>
          <w:iCs/>
          <w:sz w:val="22"/>
          <w:szCs w:val="22"/>
        </w:rPr>
        <w:t>Brasile (</w:t>
      </w:r>
      <w:r w:rsidR="00806DA5">
        <w:rPr>
          <w:rFonts w:ascii="Arial" w:hAnsi="Arial" w:cs="Arial"/>
          <w:iCs/>
          <w:sz w:val="22"/>
          <w:szCs w:val="22"/>
        </w:rPr>
        <w:t>6</w:t>
      </w:r>
      <w:r w:rsidR="00264F3B">
        <w:rPr>
          <w:rFonts w:ascii="Arial" w:hAnsi="Arial" w:cs="Arial"/>
          <w:iCs/>
          <w:sz w:val="22"/>
          <w:szCs w:val="22"/>
        </w:rPr>
        <w:t xml:space="preserve">,1%) e </w:t>
      </w:r>
      <w:r w:rsidR="00C61207">
        <w:rPr>
          <w:rFonts w:ascii="Arial" w:hAnsi="Arial" w:cs="Arial"/>
          <w:iCs/>
          <w:sz w:val="22"/>
          <w:szCs w:val="22"/>
        </w:rPr>
        <w:t>l’</w:t>
      </w:r>
      <w:r w:rsidR="00264F3B">
        <w:rPr>
          <w:rFonts w:ascii="Arial" w:hAnsi="Arial" w:cs="Arial"/>
          <w:iCs/>
          <w:sz w:val="22"/>
          <w:szCs w:val="22"/>
        </w:rPr>
        <w:t>Argentina (5,</w:t>
      </w:r>
      <w:r w:rsidR="00806DA5">
        <w:rPr>
          <w:rFonts w:ascii="Arial" w:hAnsi="Arial" w:cs="Arial"/>
          <w:iCs/>
          <w:sz w:val="22"/>
          <w:szCs w:val="22"/>
        </w:rPr>
        <w:t>5</w:t>
      </w:r>
      <w:r w:rsidR="00264F3B">
        <w:rPr>
          <w:rFonts w:ascii="Arial" w:hAnsi="Arial" w:cs="Arial"/>
          <w:iCs/>
          <w:sz w:val="22"/>
          <w:szCs w:val="22"/>
        </w:rPr>
        <w:t xml:space="preserve">%). </w:t>
      </w:r>
    </w:p>
    <w:p w14:paraId="436E69FB" w14:textId="33964F74" w:rsidR="00CB6D7D" w:rsidRDefault="00CB6D7D" w:rsidP="00CB6D7D">
      <w:pPr>
        <w:spacing w:after="120"/>
        <w:jc w:val="both"/>
        <w:outlineLvl w:val="0"/>
        <w:rPr>
          <w:rFonts w:ascii="Arial" w:hAnsi="Arial" w:cs="Arial"/>
          <w:iCs/>
          <w:sz w:val="22"/>
          <w:szCs w:val="22"/>
        </w:rPr>
      </w:pPr>
      <w:r w:rsidRPr="00CB6D7D">
        <w:rPr>
          <w:rFonts w:ascii="Arial" w:hAnsi="Arial" w:cs="Arial"/>
          <w:iCs/>
          <w:sz w:val="22"/>
          <w:szCs w:val="22"/>
        </w:rPr>
        <w:t xml:space="preserve">La geografia dei rimpatri rispetto al territorio di destinazione </w:t>
      </w:r>
      <w:r w:rsidR="00D340BF">
        <w:rPr>
          <w:rFonts w:ascii="Arial" w:hAnsi="Arial" w:cs="Arial"/>
          <w:iCs/>
          <w:sz w:val="22"/>
          <w:szCs w:val="22"/>
        </w:rPr>
        <w:t xml:space="preserve">in Italia </w:t>
      </w:r>
      <w:r w:rsidR="00C61207">
        <w:rPr>
          <w:rFonts w:ascii="Arial" w:hAnsi="Arial" w:cs="Arial"/>
          <w:iCs/>
          <w:sz w:val="22"/>
          <w:szCs w:val="22"/>
        </w:rPr>
        <w:t xml:space="preserve">è in parte diversa </w:t>
      </w:r>
      <w:r w:rsidRPr="00CB6D7D">
        <w:rPr>
          <w:rFonts w:ascii="Arial" w:hAnsi="Arial" w:cs="Arial"/>
          <w:iCs/>
          <w:sz w:val="22"/>
          <w:szCs w:val="22"/>
        </w:rPr>
        <w:t xml:space="preserve">se confrontata con quella delle immigrazioni dei cittadini stranieri: a differenza di questi ultimi, che scelgono le regioni del Mezzogiorno nel 25,2% dei casi, i cittadini italiani che rientrano </w:t>
      </w:r>
      <w:r w:rsidR="00452621">
        <w:rPr>
          <w:rFonts w:ascii="Arial" w:hAnsi="Arial" w:cs="Arial"/>
          <w:iCs/>
          <w:sz w:val="22"/>
          <w:szCs w:val="22"/>
        </w:rPr>
        <w:t xml:space="preserve">in una regione meridionale </w:t>
      </w:r>
      <w:r w:rsidRPr="00CB6D7D">
        <w:rPr>
          <w:rFonts w:ascii="Arial" w:hAnsi="Arial" w:cs="Arial"/>
          <w:iCs/>
          <w:sz w:val="22"/>
          <w:szCs w:val="22"/>
        </w:rPr>
        <w:t>sono quasi un terzo del totale (32,7%).</w:t>
      </w:r>
    </w:p>
    <w:p w14:paraId="1CD29246" w14:textId="386E0C6F" w:rsidR="00FD28AE" w:rsidRDefault="00FD28AE" w:rsidP="00086249">
      <w:pPr>
        <w:spacing w:after="120"/>
        <w:jc w:val="both"/>
        <w:rPr>
          <w:rFonts w:ascii="Arial" w:hAnsi="Arial" w:cs="Arial"/>
          <w:iCs/>
          <w:sz w:val="22"/>
          <w:szCs w:val="22"/>
        </w:rPr>
      </w:pPr>
    </w:p>
    <w:p w14:paraId="5AE223A7" w14:textId="17C4233E" w:rsidR="00D340BF" w:rsidRDefault="00D340BF" w:rsidP="00086249">
      <w:pPr>
        <w:spacing w:after="120"/>
        <w:jc w:val="both"/>
        <w:rPr>
          <w:rFonts w:ascii="Arial" w:hAnsi="Arial" w:cs="Arial"/>
          <w:iCs/>
          <w:sz w:val="22"/>
          <w:szCs w:val="22"/>
        </w:rPr>
      </w:pPr>
    </w:p>
    <w:p w14:paraId="6044DA57" w14:textId="3C8FF4FB" w:rsidR="0079593F" w:rsidRDefault="0079593F" w:rsidP="00086249">
      <w:pPr>
        <w:spacing w:after="120"/>
        <w:jc w:val="both"/>
        <w:rPr>
          <w:rFonts w:ascii="Arial" w:hAnsi="Arial" w:cs="Arial"/>
          <w:iCs/>
          <w:sz w:val="22"/>
          <w:szCs w:val="22"/>
        </w:rPr>
      </w:pPr>
    </w:p>
    <w:p w14:paraId="1C30056D" w14:textId="3EE51B56" w:rsidR="000A3F78" w:rsidRPr="00885259" w:rsidRDefault="000A3F78" w:rsidP="00086249">
      <w:pPr>
        <w:spacing w:after="120"/>
        <w:jc w:val="both"/>
        <w:rPr>
          <w:rFonts w:ascii="Arial" w:hAnsi="Arial" w:cs="Arial"/>
          <w:iCs/>
          <w:sz w:val="36"/>
          <w:szCs w:val="22"/>
        </w:rPr>
      </w:pPr>
    </w:p>
    <w:p w14:paraId="177807AB" w14:textId="15DAA267" w:rsidR="00134B8E" w:rsidRDefault="00EF057A" w:rsidP="00885259">
      <w:pPr>
        <w:autoSpaceDE w:val="0"/>
        <w:autoSpaceDN w:val="0"/>
        <w:adjustRightInd w:val="0"/>
        <w:jc w:val="both"/>
        <w:rPr>
          <w:rFonts w:ascii="Arial Narrow" w:hAnsi="Arial Narrow" w:cs="Arial"/>
          <w:iCs/>
          <w:noProof/>
          <w:color w:val="1F497D" w:themeColor="text2"/>
          <w:sz w:val="22"/>
          <w:szCs w:val="22"/>
        </w:rPr>
      </w:pPr>
      <w:r w:rsidRPr="00DA727C">
        <w:rPr>
          <w:rFonts w:ascii="Arial Black" w:hAnsi="Arial Black" w:cs="Arial"/>
          <w:iCs/>
          <w:noProof/>
          <w:color w:val="1F497D" w:themeColor="text2"/>
          <w:sz w:val="22"/>
          <w:szCs w:val="22"/>
        </w:rPr>
        <w:t xml:space="preserve">FIGURA </w:t>
      </w:r>
      <w:r w:rsidR="0040607A" w:rsidRPr="00DA727C">
        <w:rPr>
          <w:rFonts w:ascii="Arial Black" w:hAnsi="Arial Black" w:cs="Arial"/>
          <w:iCs/>
          <w:noProof/>
          <w:color w:val="1F497D" w:themeColor="text2"/>
          <w:sz w:val="22"/>
          <w:szCs w:val="22"/>
        </w:rPr>
        <w:t>3</w:t>
      </w:r>
      <w:r w:rsidRPr="00DA727C">
        <w:rPr>
          <w:rFonts w:ascii="Arial Black" w:hAnsi="Arial Black" w:cs="Arial"/>
          <w:iCs/>
          <w:noProof/>
          <w:color w:val="1F497D" w:themeColor="text2"/>
          <w:sz w:val="22"/>
          <w:szCs w:val="22"/>
        </w:rPr>
        <w:t>.</w:t>
      </w:r>
      <w:r w:rsidRPr="00DA727C">
        <w:rPr>
          <w:rFonts w:ascii="Arial Narrow" w:hAnsi="Arial Narrow" w:cs="Arial"/>
          <w:b/>
          <w:iCs/>
          <w:noProof/>
          <w:color w:val="1F497D" w:themeColor="text2"/>
          <w:sz w:val="22"/>
          <w:szCs w:val="22"/>
        </w:rPr>
        <w:t xml:space="preserve"> </w:t>
      </w:r>
      <w:r w:rsidR="003E736B" w:rsidRPr="00DA727C">
        <w:rPr>
          <w:rFonts w:ascii="Arial Narrow" w:hAnsi="Arial Narrow" w:cs="Arial"/>
          <w:b/>
          <w:iCs/>
          <w:noProof/>
          <w:color w:val="1F497D" w:themeColor="text2"/>
          <w:sz w:val="22"/>
          <w:szCs w:val="22"/>
        </w:rPr>
        <w:t>IMMIGRAZIONI PER ET</w:t>
      </w:r>
      <w:r w:rsidR="00F662F6" w:rsidRPr="00DA727C">
        <w:rPr>
          <w:rFonts w:ascii="Arial Narrow" w:hAnsi="Arial Narrow" w:cs="Arial"/>
          <w:b/>
          <w:iCs/>
          <w:noProof/>
          <w:color w:val="1F497D" w:themeColor="text2"/>
          <w:sz w:val="22"/>
          <w:szCs w:val="22"/>
        </w:rPr>
        <w:t>À</w:t>
      </w:r>
      <w:r w:rsidR="003E736B" w:rsidRPr="00DA727C">
        <w:rPr>
          <w:rFonts w:ascii="Arial Narrow" w:hAnsi="Arial Narrow" w:cs="Arial"/>
          <w:b/>
          <w:iCs/>
          <w:noProof/>
          <w:color w:val="1F497D" w:themeColor="text2"/>
          <w:sz w:val="22"/>
          <w:szCs w:val="22"/>
        </w:rPr>
        <w:t xml:space="preserve"> E CITTADINANZA (ITALIANA</w:t>
      </w:r>
      <w:r w:rsidR="00F40852" w:rsidRPr="00DA727C">
        <w:rPr>
          <w:rFonts w:ascii="Arial Narrow" w:hAnsi="Arial Narrow" w:cs="Arial"/>
          <w:b/>
          <w:iCs/>
          <w:noProof/>
          <w:color w:val="1F497D" w:themeColor="text2"/>
          <w:sz w:val="22"/>
          <w:szCs w:val="22"/>
        </w:rPr>
        <w:t>/</w:t>
      </w:r>
      <w:r w:rsidR="003E736B" w:rsidRPr="00DA727C">
        <w:rPr>
          <w:rFonts w:ascii="Arial Narrow" w:hAnsi="Arial Narrow" w:cs="Arial"/>
          <w:b/>
          <w:iCs/>
          <w:noProof/>
          <w:color w:val="1F497D" w:themeColor="text2"/>
          <w:sz w:val="22"/>
          <w:szCs w:val="22"/>
        </w:rPr>
        <w:t xml:space="preserve">STRANIERA). </w:t>
      </w:r>
      <w:r w:rsidR="00D61407" w:rsidRPr="00A264DB">
        <w:rPr>
          <w:rFonts w:ascii="Arial Narrow" w:hAnsi="Arial Narrow" w:cs="Arial"/>
          <w:bCs/>
          <w:iCs/>
          <w:noProof/>
          <w:color w:val="1F497D" w:themeColor="text2"/>
          <w:sz w:val="22"/>
          <w:szCs w:val="22"/>
        </w:rPr>
        <w:t>Media</w:t>
      </w:r>
      <w:r w:rsidR="00D61407" w:rsidRPr="00FE135A">
        <w:rPr>
          <w:rFonts w:ascii="Arial Narrow" w:hAnsi="Arial Narrow" w:cs="Arial"/>
          <w:bCs/>
          <w:iCs/>
          <w:noProof/>
          <w:color w:val="1F497D" w:themeColor="text2"/>
          <w:sz w:val="22"/>
          <w:szCs w:val="22"/>
        </w:rPr>
        <w:t xml:space="preserve"> </w:t>
      </w:r>
      <w:r w:rsidR="00D61407">
        <w:rPr>
          <w:rFonts w:ascii="Arial Narrow" w:hAnsi="Arial Narrow" w:cs="Arial"/>
          <w:iCs/>
          <w:noProof/>
          <w:color w:val="1F497D" w:themeColor="text2"/>
          <w:sz w:val="22"/>
          <w:szCs w:val="22"/>
        </w:rPr>
        <w:t>a</w:t>
      </w:r>
      <w:r w:rsidR="00D61407" w:rsidRPr="00DA727C">
        <w:rPr>
          <w:rFonts w:ascii="Arial Narrow" w:hAnsi="Arial Narrow" w:cs="Arial"/>
          <w:iCs/>
          <w:noProof/>
          <w:color w:val="1F497D" w:themeColor="text2"/>
          <w:sz w:val="22"/>
          <w:szCs w:val="22"/>
        </w:rPr>
        <w:t>nni 2023-2</w:t>
      </w:r>
      <w:r w:rsidR="00D61407">
        <w:rPr>
          <w:rFonts w:ascii="Arial Narrow" w:hAnsi="Arial Narrow" w:cs="Arial"/>
          <w:iCs/>
          <w:noProof/>
          <w:color w:val="1F497D" w:themeColor="text2"/>
          <w:sz w:val="22"/>
          <w:szCs w:val="22"/>
        </w:rPr>
        <w:t>4, v</w:t>
      </w:r>
      <w:r w:rsidR="00A264DB" w:rsidRPr="00885259">
        <w:rPr>
          <w:rFonts w:ascii="Arial Narrow" w:hAnsi="Arial Narrow" w:cs="Arial"/>
          <w:iCs/>
          <w:noProof/>
          <w:color w:val="1F497D" w:themeColor="text2"/>
          <w:sz w:val="22"/>
          <w:szCs w:val="22"/>
        </w:rPr>
        <w:t>alori percentuali</w:t>
      </w:r>
      <w:r w:rsidR="00885259">
        <w:rPr>
          <w:rFonts w:ascii="Arial Narrow" w:hAnsi="Arial Narrow" w:cs="Arial"/>
          <w:iCs/>
          <w:noProof/>
          <w:color w:val="1F497D" w:themeColor="text2"/>
          <w:sz w:val="22"/>
          <w:szCs w:val="22"/>
        </w:rPr>
        <w:t xml:space="preserve"> e</w:t>
      </w:r>
      <w:r w:rsidR="00604F7C">
        <w:rPr>
          <w:rFonts w:ascii="Arial Narrow" w:hAnsi="Arial Narrow" w:cs="Arial"/>
          <w:iCs/>
          <w:noProof/>
          <w:color w:val="1F497D" w:themeColor="text2"/>
          <w:sz w:val="22"/>
          <w:szCs w:val="22"/>
        </w:rPr>
        <w:t>d</w:t>
      </w:r>
      <w:r w:rsidR="00885259">
        <w:rPr>
          <w:rFonts w:ascii="Arial Narrow" w:hAnsi="Arial Narrow" w:cs="Arial"/>
          <w:iCs/>
          <w:noProof/>
          <w:color w:val="1F497D" w:themeColor="text2"/>
          <w:sz w:val="22"/>
          <w:szCs w:val="22"/>
        </w:rPr>
        <w:t xml:space="preserve"> età mediana</w:t>
      </w:r>
    </w:p>
    <w:p w14:paraId="4B48F2E1" w14:textId="62F816FD" w:rsidR="00450EC9" w:rsidRPr="00885259" w:rsidRDefault="00450EC9" w:rsidP="002C775E">
      <w:pPr>
        <w:autoSpaceDE w:val="0"/>
        <w:autoSpaceDN w:val="0"/>
        <w:adjustRightInd w:val="0"/>
        <w:rPr>
          <w:rFonts w:ascii="Arial Narrow" w:hAnsi="Arial Narrow" w:cs="Arial"/>
          <w:iCs/>
          <w:noProof/>
          <w:color w:val="1F497D" w:themeColor="text2"/>
          <w:sz w:val="18"/>
          <w:szCs w:val="22"/>
        </w:rPr>
      </w:pPr>
    </w:p>
    <w:p w14:paraId="3BE190C8" w14:textId="1892342B" w:rsidR="00134B8E" w:rsidRDefault="00A264DB" w:rsidP="003337F9">
      <w:pPr>
        <w:autoSpaceDE w:val="0"/>
        <w:autoSpaceDN w:val="0"/>
        <w:adjustRightInd w:val="0"/>
        <w:rPr>
          <w:rFonts w:ascii="Arial Narrow" w:hAnsi="Arial Narrow" w:cs="Arial"/>
          <w:iCs/>
          <w:noProof/>
          <w:color w:val="1F497D" w:themeColor="text2"/>
          <w:sz w:val="22"/>
          <w:szCs w:val="22"/>
        </w:rPr>
      </w:pPr>
      <w:r w:rsidRPr="00A264DB">
        <w:rPr>
          <w:rFonts w:ascii="Arial Narrow" w:hAnsi="Arial Narrow" w:cs="Arial"/>
          <w:iCs/>
          <w:noProof/>
          <w:color w:val="1F497D" w:themeColor="text2"/>
          <w:sz w:val="22"/>
          <w:szCs w:val="22"/>
        </w:rPr>
        <mc:AlternateContent>
          <mc:Choice Requires="wps">
            <w:drawing>
              <wp:anchor distT="45720" distB="45720" distL="114300" distR="114300" simplePos="0" relativeHeight="251695104" behindDoc="0" locked="0" layoutInCell="1" allowOverlap="1" wp14:anchorId="5B559EBF" wp14:editId="20B0242A">
                <wp:simplePos x="0" y="0"/>
                <wp:positionH relativeFrom="column">
                  <wp:posOffset>2957878</wp:posOffset>
                </wp:positionH>
                <wp:positionV relativeFrom="paragraph">
                  <wp:posOffset>2146228</wp:posOffset>
                </wp:positionV>
                <wp:extent cx="711843" cy="14046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43" cy="1404620"/>
                        </a:xfrm>
                        <a:prstGeom prst="rect">
                          <a:avLst/>
                        </a:prstGeom>
                        <a:noFill/>
                        <a:ln w="9525">
                          <a:noFill/>
                          <a:miter lim="800000"/>
                          <a:headEnd/>
                          <a:tailEnd/>
                        </a:ln>
                      </wps:spPr>
                      <wps:txbx>
                        <w:txbxContent>
                          <w:p w14:paraId="6028A77B" w14:textId="7D61324C" w:rsidR="00C23107" w:rsidRPr="00D61407" w:rsidRDefault="00C23107">
                            <w:pPr>
                              <w:rPr>
                                <w:rFonts w:ascii="Arial Narrow" w:hAnsi="Arial Narrow"/>
                                <w:b/>
                                <w:sz w:val="18"/>
                              </w:rPr>
                            </w:pPr>
                            <w:r w:rsidRPr="00D61407">
                              <w:rPr>
                                <w:rFonts w:ascii="Arial Narrow" w:hAnsi="Arial Narrow"/>
                                <w:b/>
                                <w:sz w:val="18"/>
                              </w:rPr>
                              <w:t>Età in anni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559EBF" id="_x0000_t202" coordsize="21600,21600" o:spt="202" path="m,l,21600r21600,l21600,xe">
                <v:stroke joinstyle="miter"/>
                <v:path gradientshapeok="t" o:connecttype="rect"/>
              </v:shapetype>
              <v:shape id="Casella di testo 2" o:spid="_x0000_s1026" type="#_x0000_t202" style="position:absolute;margin-left:232.9pt;margin-top:169pt;width:56.0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" filled="f" stroked="f">
                <v:textbox style="mso-fit-shape-to-text:t">
                  <w:txbxContent>
                    <w:p w14:paraId="6028A77B" w14:textId="7D61324C" w:rsidR="00C23107" w:rsidRPr="00D61407" w:rsidRDefault="00C23107">
                      <w:pPr>
                        <w:rPr>
                          <w:rFonts w:ascii="Arial Narrow" w:hAnsi="Arial Narrow"/>
                          <w:b/>
                          <w:sz w:val="18"/>
                        </w:rPr>
                      </w:pPr>
                      <w:r w:rsidRPr="00D61407">
                        <w:rPr>
                          <w:rFonts w:ascii="Arial Narrow" w:hAnsi="Arial Narrow"/>
                          <w:b/>
                          <w:sz w:val="18"/>
                        </w:rPr>
                        <w:t>Età in anni</w:t>
                      </w:r>
                    </w:p>
                  </w:txbxContent>
                </v:textbox>
              </v:shape>
            </w:pict>
          </mc:Fallback>
        </mc:AlternateContent>
      </w:r>
      <w:r w:rsidR="000A3F78" w:rsidRPr="00DA727C">
        <w:rPr>
          <w:noProof/>
          <w:color w:val="C00000"/>
          <w:sz w:val="18"/>
          <w:szCs w:val="18"/>
        </w:rPr>
        <mc:AlternateContent>
          <mc:Choice Requires="wps">
            <w:drawing>
              <wp:anchor distT="0" distB="0" distL="114300" distR="114300" simplePos="0" relativeHeight="251686912" behindDoc="0" locked="0" layoutInCell="1" allowOverlap="1" wp14:anchorId="4E5AD316" wp14:editId="3494AA3B">
                <wp:simplePos x="0" y="0"/>
                <wp:positionH relativeFrom="column">
                  <wp:posOffset>2686227</wp:posOffset>
                </wp:positionH>
                <wp:positionV relativeFrom="paragraph">
                  <wp:posOffset>552916</wp:posOffset>
                </wp:positionV>
                <wp:extent cx="1157468" cy="648182"/>
                <wp:effectExtent l="0" t="0" r="24130" b="19050"/>
                <wp:wrapNone/>
                <wp:docPr id="2098595691" name="Ovale 1"/>
                <wp:cNvGraphicFramePr/>
                <a:graphic xmlns:a="http://schemas.openxmlformats.org/drawingml/2006/main">
                  <a:graphicData uri="http://schemas.microsoft.com/office/word/2010/wordprocessingShape">
                    <wps:wsp>
                      <wps:cNvSpPr/>
                      <wps:spPr>
                        <a:xfrm>
                          <a:off x="0" y="0"/>
                          <a:ext cx="1157468" cy="648182"/>
                        </a:xfrm>
                        <a:prstGeom prst="ellipse">
                          <a:avLst/>
                        </a:prstGeom>
                        <a:noFill/>
                        <a:ln>
                          <a:solidFill>
                            <a:srgbClr val="E4261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22243C" w14:textId="77777777" w:rsidR="00C23107" w:rsidRPr="00D61407" w:rsidRDefault="00C23107" w:rsidP="00DA727C">
                            <w:pPr>
                              <w:jc w:val="center"/>
                              <w:rPr>
                                <w:rFonts w:ascii="Arial Narrow" w:hAnsi="Arial Narrow"/>
                                <w:b/>
                                <w:bCs/>
                                <w:color w:val="E42618"/>
                                <w:sz w:val="16"/>
                                <w:szCs w:val="18"/>
                              </w:rPr>
                            </w:pPr>
                            <w:r w:rsidRPr="00D61407">
                              <w:rPr>
                                <w:rFonts w:ascii="Arial Narrow" w:hAnsi="Arial Narrow"/>
                                <w:b/>
                                <w:bCs/>
                                <w:color w:val="E42618"/>
                                <w:sz w:val="16"/>
                                <w:szCs w:val="18"/>
                              </w:rPr>
                              <w:t xml:space="preserve">Mediana italiani: </w:t>
                            </w:r>
                          </w:p>
                          <w:p w14:paraId="5364D163" w14:textId="2E8AC130" w:rsidR="00C23107" w:rsidRPr="00AD3C1C" w:rsidRDefault="00C23107" w:rsidP="00DA727C">
                            <w:pPr>
                              <w:jc w:val="center"/>
                              <w:rPr>
                                <w:rFonts w:ascii="Arial Narrow" w:hAnsi="Arial Narrow"/>
                                <w:b/>
                                <w:bCs/>
                                <w:color w:val="E42618"/>
                                <w:sz w:val="18"/>
                                <w:szCs w:val="18"/>
                              </w:rPr>
                            </w:pPr>
                            <w:r w:rsidRPr="00D61407">
                              <w:rPr>
                                <w:rFonts w:ascii="Arial Narrow" w:hAnsi="Arial Narrow"/>
                                <w:b/>
                                <w:bCs/>
                                <w:color w:val="E42618"/>
                                <w:sz w:val="16"/>
                                <w:szCs w:val="18"/>
                              </w:rPr>
                              <w:t>34 anni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4E5AD316" id="Ovale 1" o:spid="_x0000_s1027" style="position:absolute;margin-left:211.5pt;margin-top:43.55pt;width:91.15pt;height:5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" filled="f" strokecolor="#e42618" strokeweight="2pt">
                <v:textbox>
                  <w:txbxContent>
                    <w:p w14:paraId="1C22243C" w14:textId="77777777" w:rsidR="00C23107" w:rsidRPr="00D61407" w:rsidRDefault="00C23107" w:rsidP="00DA727C">
                      <w:pPr>
                        <w:jc w:val="center"/>
                        <w:rPr>
                          <w:rFonts w:ascii="Arial Narrow" w:hAnsi="Arial Narrow"/>
                          <w:b/>
                          <w:bCs/>
                          <w:color w:val="E42618"/>
                          <w:sz w:val="16"/>
                          <w:szCs w:val="18"/>
                        </w:rPr>
                      </w:pPr>
                      <w:r w:rsidRPr="00D61407">
                        <w:rPr>
                          <w:rFonts w:ascii="Arial Narrow" w:hAnsi="Arial Narrow"/>
                          <w:b/>
                          <w:bCs/>
                          <w:color w:val="E42618"/>
                          <w:sz w:val="16"/>
                          <w:szCs w:val="18"/>
                        </w:rPr>
                        <w:t xml:space="preserve">Mediana italiani: </w:t>
                      </w:r>
                    </w:p>
                    <w:p w14:paraId="5364D163" w14:textId="2E8AC130" w:rsidR="00C23107" w:rsidRPr="00AD3C1C" w:rsidRDefault="00C23107" w:rsidP="00DA727C">
                      <w:pPr>
                        <w:jc w:val="center"/>
                        <w:rPr>
                          <w:rFonts w:ascii="Arial Narrow" w:hAnsi="Arial Narrow"/>
                          <w:b/>
                          <w:bCs/>
                          <w:color w:val="E42618"/>
                          <w:sz w:val="18"/>
                          <w:szCs w:val="18"/>
                        </w:rPr>
                      </w:pPr>
                      <w:r w:rsidRPr="00D61407">
                        <w:rPr>
                          <w:rFonts w:ascii="Arial Narrow" w:hAnsi="Arial Narrow"/>
                          <w:b/>
                          <w:bCs/>
                          <w:color w:val="E42618"/>
                          <w:sz w:val="16"/>
                          <w:szCs w:val="18"/>
                        </w:rPr>
                        <w:t>34 anni</w:t>
                      </w:r>
                    </w:p>
                  </w:txbxContent>
                </v:textbox>
              </v:oval>
            </w:pict>
          </mc:Fallback>
        </mc:AlternateContent>
      </w:r>
      <w:r w:rsidR="000A3F78" w:rsidRPr="000A3F78">
        <w:rPr>
          <w:noProof/>
          <w:sz w:val="18"/>
          <w:szCs w:val="18"/>
        </w:rPr>
        <w:drawing>
          <wp:inline distT="0" distB="0" distL="0" distR="0" wp14:anchorId="03C1559E" wp14:editId="232C219A">
            <wp:extent cx="6389226" cy="2354580"/>
            <wp:effectExtent l="0" t="0" r="0" b="0"/>
            <wp:docPr id="1305803630" name="Grafico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34B8E">
        <w:rPr>
          <w:rFonts w:ascii="Arial Narrow" w:hAnsi="Arial Narrow" w:cs="Arial"/>
          <w:iCs/>
          <w:noProof/>
          <w:color w:val="1F497D" w:themeColor="text2"/>
          <w:sz w:val="22"/>
          <w:szCs w:val="22"/>
        </w:rPr>
        <w:br w:type="page"/>
      </w:r>
    </w:p>
    <w:p w14:paraId="0B117B04" w14:textId="21EF7674" w:rsidR="005E60B9" w:rsidRPr="00D61407" w:rsidRDefault="005E60B9" w:rsidP="009F35DF">
      <w:pPr>
        <w:spacing w:after="120"/>
        <w:jc w:val="both"/>
        <w:outlineLvl w:val="0"/>
        <w:rPr>
          <w:rFonts w:ascii="Arial" w:hAnsi="Arial" w:cs="Arial"/>
          <w:iCs/>
          <w:color w:val="1F497D" w:themeColor="text2"/>
          <w:sz w:val="22"/>
          <w:szCs w:val="26"/>
        </w:rPr>
      </w:pPr>
    </w:p>
    <w:p w14:paraId="21419DDA" w14:textId="7387AC4F" w:rsidR="009F35DF" w:rsidRDefault="009F35DF" w:rsidP="009F35DF">
      <w:pPr>
        <w:spacing w:after="120"/>
        <w:jc w:val="both"/>
        <w:outlineLvl w:val="0"/>
        <w:rPr>
          <w:rFonts w:ascii="Arial" w:hAnsi="Arial" w:cs="Arial"/>
          <w:b/>
          <w:iCs/>
          <w:color w:val="1F497D" w:themeColor="text2"/>
          <w:sz w:val="26"/>
          <w:szCs w:val="26"/>
        </w:rPr>
      </w:pPr>
      <w:r>
        <w:rPr>
          <w:rFonts w:ascii="Arial" w:hAnsi="Arial" w:cs="Arial"/>
          <w:b/>
          <w:iCs/>
          <w:color w:val="1F497D" w:themeColor="text2"/>
          <w:sz w:val="26"/>
          <w:szCs w:val="26"/>
        </w:rPr>
        <w:t xml:space="preserve">Nuovo record </w:t>
      </w:r>
      <w:r w:rsidR="005E60B9">
        <w:rPr>
          <w:rFonts w:ascii="Arial" w:hAnsi="Arial" w:cs="Arial"/>
          <w:b/>
          <w:iCs/>
          <w:color w:val="1F497D" w:themeColor="text2"/>
          <w:sz w:val="26"/>
          <w:szCs w:val="26"/>
        </w:rPr>
        <w:t xml:space="preserve">anche per gli </w:t>
      </w:r>
      <w:r>
        <w:rPr>
          <w:rFonts w:ascii="Arial" w:hAnsi="Arial" w:cs="Arial"/>
          <w:b/>
          <w:iCs/>
          <w:color w:val="1F497D" w:themeColor="text2"/>
          <w:sz w:val="26"/>
          <w:szCs w:val="26"/>
        </w:rPr>
        <w:t>espatri nel biennio 2023-20</w:t>
      </w:r>
      <w:r w:rsidR="00973735">
        <w:rPr>
          <w:rFonts w:ascii="Arial" w:hAnsi="Arial" w:cs="Arial"/>
          <w:b/>
          <w:iCs/>
          <w:color w:val="1F497D" w:themeColor="text2"/>
          <w:sz w:val="26"/>
          <w:szCs w:val="26"/>
        </w:rPr>
        <w:t>2</w:t>
      </w:r>
      <w:r>
        <w:rPr>
          <w:rFonts w:ascii="Arial" w:hAnsi="Arial" w:cs="Arial"/>
          <w:b/>
          <w:iCs/>
          <w:color w:val="1F497D" w:themeColor="text2"/>
          <w:sz w:val="26"/>
          <w:szCs w:val="26"/>
        </w:rPr>
        <w:t xml:space="preserve">4 </w:t>
      </w:r>
    </w:p>
    <w:p w14:paraId="0EF9593D" w14:textId="7851129C" w:rsidR="00320B01" w:rsidRDefault="002722EC" w:rsidP="009F35DF">
      <w:pPr>
        <w:spacing w:after="120"/>
        <w:jc w:val="both"/>
        <w:outlineLvl w:val="0"/>
        <w:rPr>
          <w:rFonts w:ascii="Arial" w:hAnsi="Arial" w:cs="Arial"/>
          <w:iCs/>
          <w:sz w:val="22"/>
          <w:szCs w:val="22"/>
        </w:rPr>
      </w:pPr>
      <w:r>
        <w:rPr>
          <w:rFonts w:ascii="Arial" w:hAnsi="Arial" w:cs="Arial"/>
          <w:iCs/>
          <w:sz w:val="22"/>
          <w:szCs w:val="22"/>
        </w:rPr>
        <w:t xml:space="preserve">Nel biennio 2023-24 le emigrazioni verso l’estero ammontano </w:t>
      </w:r>
      <w:r w:rsidR="007A5560">
        <w:rPr>
          <w:rFonts w:ascii="Arial" w:hAnsi="Arial" w:cs="Arial"/>
          <w:iCs/>
          <w:sz w:val="22"/>
          <w:szCs w:val="22"/>
        </w:rPr>
        <w:t xml:space="preserve">mediamente a 175mila </w:t>
      </w:r>
      <w:r w:rsidR="002E2463">
        <w:rPr>
          <w:rFonts w:ascii="Arial" w:hAnsi="Arial" w:cs="Arial"/>
          <w:iCs/>
          <w:sz w:val="22"/>
          <w:szCs w:val="22"/>
        </w:rPr>
        <w:t xml:space="preserve">unità </w:t>
      </w:r>
      <w:r w:rsidR="00247796">
        <w:rPr>
          <w:rFonts w:ascii="Arial" w:hAnsi="Arial" w:cs="Arial"/>
          <w:iCs/>
          <w:sz w:val="22"/>
          <w:szCs w:val="22"/>
        </w:rPr>
        <w:br/>
      </w:r>
      <w:r>
        <w:rPr>
          <w:rFonts w:ascii="Arial" w:hAnsi="Arial" w:cs="Arial"/>
          <w:iCs/>
          <w:sz w:val="22"/>
          <w:szCs w:val="22"/>
        </w:rPr>
        <w:t xml:space="preserve">(158mila nel 2023 e 191mila nel 2024), in </w:t>
      </w:r>
      <w:r w:rsidR="00320B01">
        <w:rPr>
          <w:rFonts w:ascii="Arial" w:hAnsi="Arial" w:cs="Arial"/>
          <w:iCs/>
          <w:sz w:val="22"/>
          <w:szCs w:val="22"/>
        </w:rPr>
        <w:t>netto</w:t>
      </w:r>
      <w:r>
        <w:rPr>
          <w:rFonts w:ascii="Arial" w:hAnsi="Arial" w:cs="Arial"/>
          <w:iCs/>
          <w:sz w:val="22"/>
          <w:szCs w:val="22"/>
        </w:rPr>
        <w:t xml:space="preserve"> aumento rispetto a</w:t>
      </w:r>
      <w:r w:rsidR="00320B01">
        <w:rPr>
          <w:rFonts w:ascii="Arial" w:hAnsi="Arial" w:cs="Arial"/>
          <w:iCs/>
          <w:sz w:val="22"/>
          <w:szCs w:val="22"/>
        </w:rPr>
        <w:t xml:space="preserve">lla media </w:t>
      </w:r>
      <w:r w:rsidR="00D340BF">
        <w:rPr>
          <w:rFonts w:ascii="Arial" w:hAnsi="Arial" w:cs="Arial"/>
          <w:iCs/>
          <w:sz w:val="22"/>
          <w:szCs w:val="22"/>
        </w:rPr>
        <w:t>del periodo 2014-22</w:t>
      </w:r>
      <w:r w:rsidR="00320B01">
        <w:rPr>
          <w:rFonts w:ascii="Arial" w:hAnsi="Arial" w:cs="Arial"/>
          <w:iCs/>
          <w:sz w:val="22"/>
          <w:szCs w:val="22"/>
        </w:rPr>
        <w:t xml:space="preserve"> che si attesta su circa 156mila emigrazioni annue</w:t>
      </w:r>
      <w:r w:rsidR="00E71790">
        <w:rPr>
          <w:rFonts w:ascii="Arial" w:hAnsi="Arial" w:cs="Arial"/>
          <w:iCs/>
          <w:sz w:val="22"/>
          <w:szCs w:val="22"/>
        </w:rPr>
        <w:t xml:space="preserve"> (Figura 4)</w:t>
      </w:r>
      <w:r w:rsidR="00320B01">
        <w:rPr>
          <w:rFonts w:ascii="Arial" w:hAnsi="Arial" w:cs="Arial"/>
          <w:iCs/>
          <w:sz w:val="22"/>
          <w:szCs w:val="22"/>
        </w:rPr>
        <w:t>.</w:t>
      </w:r>
    </w:p>
    <w:p w14:paraId="09FA8930" w14:textId="6911FB3A" w:rsidR="00E5033F" w:rsidRDefault="006C6D4D">
      <w:pPr>
        <w:spacing w:after="120"/>
        <w:jc w:val="both"/>
        <w:rPr>
          <w:rFonts w:ascii="Arial" w:hAnsi="Arial" w:cs="Arial"/>
          <w:iCs/>
          <w:sz w:val="22"/>
          <w:szCs w:val="22"/>
        </w:rPr>
      </w:pPr>
      <w:r>
        <w:rPr>
          <w:rFonts w:ascii="Arial" w:hAnsi="Arial" w:cs="Arial"/>
          <w:iCs/>
          <w:sz w:val="22"/>
          <w:szCs w:val="22"/>
        </w:rPr>
        <w:t xml:space="preserve">Il volume delle </w:t>
      </w:r>
      <w:r w:rsidR="00DC55AA">
        <w:rPr>
          <w:rFonts w:ascii="Arial" w:hAnsi="Arial" w:cs="Arial"/>
          <w:iCs/>
          <w:sz w:val="22"/>
          <w:szCs w:val="22"/>
        </w:rPr>
        <w:t>emigrazioni</w:t>
      </w:r>
      <w:r>
        <w:rPr>
          <w:rFonts w:ascii="Arial" w:hAnsi="Arial" w:cs="Arial"/>
          <w:iCs/>
          <w:sz w:val="22"/>
          <w:szCs w:val="22"/>
        </w:rPr>
        <w:t xml:space="preserve"> verso l’estero è dovuto in larga parte agli espatri dei cittadini italiani che</w:t>
      </w:r>
      <w:r w:rsidR="009239A5">
        <w:rPr>
          <w:rFonts w:ascii="Arial" w:hAnsi="Arial" w:cs="Arial"/>
          <w:iCs/>
          <w:sz w:val="22"/>
          <w:szCs w:val="22"/>
        </w:rPr>
        <w:t xml:space="preserve"> nell’ultimo decennio sono</w:t>
      </w:r>
      <w:r>
        <w:rPr>
          <w:rFonts w:ascii="Arial" w:hAnsi="Arial" w:cs="Arial"/>
          <w:iCs/>
          <w:sz w:val="22"/>
          <w:szCs w:val="22"/>
        </w:rPr>
        <w:t xml:space="preserve"> </w:t>
      </w:r>
      <w:r w:rsidR="007A5560">
        <w:rPr>
          <w:rFonts w:ascii="Arial" w:hAnsi="Arial" w:cs="Arial"/>
          <w:iCs/>
          <w:sz w:val="22"/>
          <w:szCs w:val="22"/>
        </w:rPr>
        <w:t xml:space="preserve">state </w:t>
      </w:r>
      <w:r>
        <w:rPr>
          <w:rFonts w:ascii="Arial" w:hAnsi="Arial" w:cs="Arial"/>
          <w:iCs/>
          <w:sz w:val="22"/>
          <w:szCs w:val="22"/>
        </w:rPr>
        <w:t xml:space="preserve">in media circa </w:t>
      </w:r>
      <w:r w:rsidR="0026166B">
        <w:rPr>
          <w:rFonts w:ascii="Arial" w:hAnsi="Arial" w:cs="Arial"/>
          <w:iCs/>
          <w:sz w:val="22"/>
          <w:szCs w:val="22"/>
        </w:rPr>
        <w:t>sette</w:t>
      </w:r>
      <w:r>
        <w:rPr>
          <w:rFonts w:ascii="Arial" w:hAnsi="Arial" w:cs="Arial"/>
          <w:iCs/>
          <w:sz w:val="22"/>
          <w:szCs w:val="22"/>
        </w:rPr>
        <w:t xml:space="preserve"> su </w:t>
      </w:r>
      <w:r w:rsidR="0026166B">
        <w:rPr>
          <w:rFonts w:ascii="Arial" w:hAnsi="Arial" w:cs="Arial"/>
          <w:iCs/>
          <w:sz w:val="22"/>
          <w:szCs w:val="22"/>
        </w:rPr>
        <w:t>10</w:t>
      </w:r>
      <w:r w:rsidR="009239A5">
        <w:rPr>
          <w:rFonts w:ascii="Arial" w:hAnsi="Arial" w:cs="Arial"/>
          <w:iCs/>
          <w:sz w:val="22"/>
          <w:szCs w:val="22"/>
        </w:rPr>
        <w:t xml:space="preserve">. Tra il </w:t>
      </w:r>
      <w:r>
        <w:rPr>
          <w:rFonts w:ascii="Arial" w:hAnsi="Arial" w:cs="Arial"/>
          <w:iCs/>
          <w:sz w:val="22"/>
          <w:szCs w:val="22"/>
        </w:rPr>
        <w:t>201</w:t>
      </w:r>
      <w:r w:rsidR="00DC55AA">
        <w:rPr>
          <w:rFonts w:ascii="Arial" w:hAnsi="Arial" w:cs="Arial"/>
          <w:iCs/>
          <w:sz w:val="22"/>
          <w:szCs w:val="22"/>
        </w:rPr>
        <w:t>4</w:t>
      </w:r>
      <w:r w:rsidR="009239A5">
        <w:rPr>
          <w:rFonts w:ascii="Arial" w:hAnsi="Arial" w:cs="Arial"/>
          <w:iCs/>
          <w:sz w:val="22"/>
          <w:szCs w:val="22"/>
        </w:rPr>
        <w:t xml:space="preserve"> e il </w:t>
      </w:r>
      <w:r>
        <w:rPr>
          <w:rFonts w:ascii="Arial" w:hAnsi="Arial" w:cs="Arial"/>
          <w:iCs/>
          <w:sz w:val="22"/>
          <w:szCs w:val="22"/>
        </w:rPr>
        <w:t>202</w:t>
      </w:r>
      <w:r w:rsidR="007F1765">
        <w:rPr>
          <w:rFonts w:ascii="Arial" w:hAnsi="Arial" w:cs="Arial"/>
          <w:iCs/>
          <w:sz w:val="22"/>
          <w:szCs w:val="22"/>
        </w:rPr>
        <w:t>4</w:t>
      </w:r>
      <w:r>
        <w:rPr>
          <w:rFonts w:ascii="Arial" w:hAnsi="Arial" w:cs="Arial"/>
          <w:iCs/>
          <w:sz w:val="22"/>
          <w:szCs w:val="22"/>
        </w:rPr>
        <w:t xml:space="preserve"> </w:t>
      </w:r>
      <w:r w:rsidR="00E5033F">
        <w:rPr>
          <w:rFonts w:ascii="Arial" w:hAnsi="Arial" w:cs="Arial"/>
          <w:iCs/>
          <w:sz w:val="22"/>
          <w:szCs w:val="22"/>
        </w:rPr>
        <w:t xml:space="preserve">si conta </w:t>
      </w:r>
      <w:r>
        <w:rPr>
          <w:rFonts w:ascii="Arial" w:hAnsi="Arial" w:cs="Arial"/>
          <w:iCs/>
          <w:sz w:val="22"/>
          <w:szCs w:val="22"/>
        </w:rPr>
        <w:t>oltre un milione</w:t>
      </w:r>
      <w:r w:rsidR="007F1765">
        <w:rPr>
          <w:rFonts w:ascii="Arial" w:hAnsi="Arial" w:cs="Arial"/>
          <w:iCs/>
          <w:sz w:val="22"/>
          <w:szCs w:val="22"/>
        </w:rPr>
        <w:t xml:space="preserve"> 243mila </w:t>
      </w:r>
      <w:r w:rsidR="00E5033F">
        <w:rPr>
          <w:rFonts w:ascii="Arial" w:hAnsi="Arial" w:cs="Arial"/>
          <w:iCs/>
          <w:sz w:val="22"/>
          <w:szCs w:val="22"/>
        </w:rPr>
        <w:t>espatri</w:t>
      </w:r>
      <w:r>
        <w:rPr>
          <w:rFonts w:ascii="Arial" w:hAnsi="Arial" w:cs="Arial"/>
          <w:iCs/>
          <w:sz w:val="22"/>
          <w:szCs w:val="22"/>
        </w:rPr>
        <w:t xml:space="preserve">, </w:t>
      </w:r>
      <w:r w:rsidR="001B40FF">
        <w:rPr>
          <w:rFonts w:ascii="Arial" w:hAnsi="Arial" w:cs="Arial"/>
          <w:iCs/>
          <w:sz w:val="22"/>
          <w:szCs w:val="22"/>
        </w:rPr>
        <w:t xml:space="preserve">a fronte di </w:t>
      </w:r>
      <w:r>
        <w:rPr>
          <w:rFonts w:ascii="Arial" w:hAnsi="Arial" w:cs="Arial"/>
          <w:iCs/>
          <w:sz w:val="22"/>
          <w:szCs w:val="22"/>
        </w:rPr>
        <w:t xml:space="preserve">poco più di </w:t>
      </w:r>
      <w:r w:rsidR="00390CFF">
        <w:rPr>
          <w:rFonts w:ascii="Arial" w:hAnsi="Arial" w:cs="Arial"/>
          <w:iCs/>
          <w:sz w:val="22"/>
          <w:szCs w:val="22"/>
        </w:rPr>
        <w:t>5</w:t>
      </w:r>
      <w:r w:rsidR="007F1765">
        <w:rPr>
          <w:rFonts w:ascii="Arial" w:hAnsi="Arial" w:cs="Arial"/>
          <w:iCs/>
          <w:sz w:val="22"/>
          <w:szCs w:val="22"/>
        </w:rPr>
        <w:t>73</w:t>
      </w:r>
      <w:r>
        <w:rPr>
          <w:rFonts w:ascii="Arial" w:hAnsi="Arial" w:cs="Arial"/>
          <w:iCs/>
          <w:sz w:val="22"/>
          <w:szCs w:val="22"/>
        </w:rPr>
        <w:t>mila</w:t>
      </w:r>
      <w:r w:rsidR="001B40FF">
        <w:rPr>
          <w:rFonts w:ascii="Arial" w:hAnsi="Arial" w:cs="Arial"/>
          <w:iCs/>
          <w:sz w:val="22"/>
          <w:szCs w:val="22"/>
        </w:rPr>
        <w:t xml:space="preserve"> rimpatri</w:t>
      </w:r>
      <w:r>
        <w:rPr>
          <w:rFonts w:ascii="Arial" w:hAnsi="Arial" w:cs="Arial"/>
          <w:iCs/>
          <w:sz w:val="22"/>
          <w:szCs w:val="22"/>
        </w:rPr>
        <w:t xml:space="preserve">; </w:t>
      </w:r>
      <w:r w:rsidR="00D61921">
        <w:rPr>
          <w:rFonts w:ascii="Arial" w:hAnsi="Arial" w:cs="Arial"/>
          <w:iCs/>
          <w:sz w:val="22"/>
          <w:szCs w:val="22"/>
        </w:rPr>
        <w:t xml:space="preserve">i saldi migratori dei cittadini </w:t>
      </w:r>
      <w:r w:rsidR="00E5033F">
        <w:rPr>
          <w:rFonts w:ascii="Arial" w:hAnsi="Arial" w:cs="Arial"/>
          <w:iCs/>
          <w:sz w:val="22"/>
          <w:szCs w:val="22"/>
        </w:rPr>
        <w:t xml:space="preserve">italiani </w:t>
      </w:r>
      <w:r w:rsidR="00D61921">
        <w:rPr>
          <w:rFonts w:ascii="Arial" w:hAnsi="Arial" w:cs="Arial"/>
          <w:iCs/>
          <w:sz w:val="22"/>
          <w:szCs w:val="22"/>
        </w:rPr>
        <w:t xml:space="preserve">sono </w:t>
      </w:r>
      <w:r w:rsidR="001B40FF">
        <w:rPr>
          <w:rFonts w:ascii="Arial" w:hAnsi="Arial" w:cs="Arial"/>
          <w:iCs/>
          <w:sz w:val="22"/>
          <w:szCs w:val="22"/>
        </w:rPr>
        <w:t xml:space="preserve">quindi </w:t>
      </w:r>
      <w:r w:rsidR="00320B01">
        <w:rPr>
          <w:rFonts w:ascii="Arial" w:hAnsi="Arial" w:cs="Arial"/>
          <w:iCs/>
          <w:sz w:val="22"/>
          <w:szCs w:val="22"/>
        </w:rPr>
        <w:t xml:space="preserve">costantemente </w:t>
      </w:r>
      <w:r w:rsidR="00D61921">
        <w:rPr>
          <w:rFonts w:ascii="Arial" w:hAnsi="Arial" w:cs="Arial"/>
          <w:iCs/>
          <w:sz w:val="22"/>
          <w:szCs w:val="22"/>
        </w:rPr>
        <w:t xml:space="preserve">negativi </w:t>
      </w:r>
      <w:r w:rsidR="00320B01">
        <w:rPr>
          <w:rFonts w:ascii="Arial" w:hAnsi="Arial" w:cs="Arial"/>
          <w:iCs/>
          <w:sz w:val="22"/>
          <w:szCs w:val="22"/>
        </w:rPr>
        <w:t>con una</w:t>
      </w:r>
      <w:r>
        <w:rPr>
          <w:rFonts w:ascii="Arial" w:hAnsi="Arial" w:cs="Arial"/>
          <w:iCs/>
          <w:sz w:val="22"/>
          <w:szCs w:val="22"/>
        </w:rPr>
        <w:t xml:space="preserve"> perdita complessiva di popolazione italiana pari a </w:t>
      </w:r>
      <w:r w:rsidR="007F1765">
        <w:rPr>
          <w:rFonts w:ascii="Arial" w:hAnsi="Arial" w:cs="Arial"/>
          <w:iCs/>
          <w:sz w:val="22"/>
          <w:szCs w:val="22"/>
        </w:rPr>
        <w:t>670</w:t>
      </w:r>
      <w:r>
        <w:rPr>
          <w:rFonts w:ascii="Arial" w:hAnsi="Arial" w:cs="Arial"/>
          <w:iCs/>
          <w:sz w:val="22"/>
          <w:szCs w:val="22"/>
        </w:rPr>
        <w:t>mila unità</w:t>
      </w:r>
      <w:r w:rsidR="00390CFF">
        <w:rPr>
          <w:rFonts w:ascii="Arial" w:hAnsi="Arial" w:cs="Arial"/>
          <w:iCs/>
          <w:sz w:val="22"/>
          <w:szCs w:val="22"/>
        </w:rPr>
        <w:t>.</w:t>
      </w:r>
      <w:r w:rsidR="00AB04A4">
        <w:rPr>
          <w:rFonts w:ascii="Arial" w:hAnsi="Arial" w:cs="Arial"/>
          <w:iCs/>
          <w:sz w:val="22"/>
          <w:szCs w:val="22"/>
        </w:rPr>
        <w:t xml:space="preserve"> </w:t>
      </w:r>
      <w:r w:rsidR="0057693E">
        <w:rPr>
          <w:rFonts w:ascii="Arial" w:hAnsi="Arial" w:cs="Arial"/>
          <w:iCs/>
          <w:sz w:val="22"/>
          <w:szCs w:val="22"/>
        </w:rPr>
        <w:t xml:space="preserve">Nello stesso </w:t>
      </w:r>
      <w:r w:rsidR="007F1765">
        <w:rPr>
          <w:rFonts w:ascii="Arial" w:hAnsi="Arial" w:cs="Arial"/>
          <w:iCs/>
          <w:sz w:val="22"/>
          <w:szCs w:val="22"/>
        </w:rPr>
        <w:t>periodo</w:t>
      </w:r>
      <w:r w:rsidR="003D27D7">
        <w:rPr>
          <w:rFonts w:ascii="Arial" w:hAnsi="Arial" w:cs="Arial"/>
          <w:iCs/>
          <w:sz w:val="22"/>
          <w:szCs w:val="22"/>
        </w:rPr>
        <w:t>,</w:t>
      </w:r>
      <w:r w:rsidR="00E5033F">
        <w:rPr>
          <w:rFonts w:ascii="Arial" w:hAnsi="Arial" w:cs="Arial"/>
          <w:iCs/>
          <w:sz w:val="22"/>
          <w:szCs w:val="22"/>
        </w:rPr>
        <w:t xml:space="preserve"> </w:t>
      </w:r>
      <w:r w:rsidR="007F1765">
        <w:rPr>
          <w:rFonts w:ascii="Arial" w:hAnsi="Arial" w:cs="Arial"/>
          <w:iCs/>
          <w:sz w:val="22"/>
          <w:szCs w:val="22"/>
        </w:rPr>
        <w:t xml:space="preserve">si contano 506mila emigrazioni di cittadini stranieri a fronte di 3 milioni 145mila ingressi complessivi, con un saldo </w:t>
      </w:r>
      <w:r w:rsidR="00320B01">
        <w:rPr>
          <w:rFonts w:ascii="Arial" w:hAnsi="Arial" w:cs="Arial"/>
          <w:iCs/>
          <w:sz w:val="22"/>
          <w:szCs w:val="22"/>
        </w:rPr>
        <w:t xml:space="preserve">netto positivo di </w:t>
      </w:r>
      <w:r w:rsidR="00B37A12">
        <w:rPr>
          <w:rFonts w:ascii="Arial" w:hAnsi="Arial" w:cs="Arial"/>
          <w:iCs/>
          <w:sz w:val="22"/>
          <w:szCs w:val="22"/>
        </w:rPr>
        <w:t>2</w:t>
      </w:r>
      <w:r w:rsidR="007F1765">
        <w:rPr>
          <w:rFonts w:ascii="Arial" w:hAnsi="Arial" w:cs="Arial"/>
          <w:iCs/>
          <w:sz w:val="22"/>
          <w:szCs w:val="22"/>
        </w:rPr>
        <w:t xml:space="preserve"> milioni 638mila</w:t>
      </w:r>
      <w:r w:rsidR="0079593F">
        <w:rPr>
          <w:rStyle w:val="Rimandonotadichiusura"/>
          <w:rFonts w:ascii="Arial" w:hAnsi="Arial" w:cs="Arial"/>
          <w:iCs/>
          <w:sz w:val="22"/>
          <w:szCs w:val="22"/>
        </w:rPr>
        <w:endnoteReference w:id="1"/>
      </w:r>
      <w:r w:rsidR="00320B01">
        <w:rPr>
          <w:rFonts w:ascii="Arial" w:hAnsi="Arial" w:cs="Arial"/>
          <w:iCs/>
          <w:sz w:val="22"/>
          <w:szCs w:val="22"/>
        </w:rPr>
        <w:t xml:space="preserve">. </w:t>
      </w:r>
    </w:p>
    <w:p w14:paraId="0399F148" w14:textId="6FE4C107" w:rsidR="00B6791C" w:rsidRDefault="00B6791C">
      <w:pPr>
        <w:spacing w:after="120"/>
        <w:jc w:val="both"/>
        <w:rPr>
          <w:rFonts w:ascii="Arial" w:hAnsi="Arial" w:cs="Arial"/>
          <w:iCs/>
          <w:sz w:val="22"/>
          <w:szCs w:val="22"/>
        </w:rPr>
      </w:pPr>
      <w:r>
        <w:rPr>
          <w:rFonts w:ascii="Arial" w:hAnsi="Arial" w:cs="Arial"/>
          <w:iCs/>
          <w:sz w:val="22"/>
          <w:szCs w:val="22"/>
        </w:rPr>
        <w:t xml:space="preserve">L’elevato numero di espatri registrato nell’ultimo biennio, in particolare nel 2024, è dovuto in parte </w:t>
      </w:r>
      <w:r w:rsidRPr="008873FF">
        <w:rPr>
          <w:rFonts w:ascii="Arial" w:hAnsi="Arial" w:cs="Arial"/>
          <w:iCs/>
          <w:sz w:val="22"/>
          <w:szCs w:val="22"/>
        </w:rPr>
        <w:t>all’effetto della nuova normativa (Legge n.213 del 30/12/2023</w:t>
      </w:r>
      <w:r w:rsidR="00EB5EE1" w:rsidRPr="008873FF">
        <w:rPr>
          <w:rStyle w:val="Rimandonotadichiusura"/>
          <w:rFonts w:ascii="Arial" w:hAnsi="Arial" w:cs="Arial"/>
          <w:iCs/>
          <w:sz w:val="22"/>
          <w:szCs w:val="22"/>
        </w:rPr>
        <w:endnoteReference w:id="2"/>
      </w:r>
      <w:r w:rsidRPr="008873FF">
        <w:rPr>
          <w:rFonts w:ascii="Arial" w:hAnsi="Arial" w:cs="Arial"/>
          <w:iCs/>
          <w:sz w:val="22"/>
          <w:szCs w:val="22"/>
        </w:rPr>
        <w:t>) che ha introdotto sanzioni</w:t>
      </w:r>
      <w:r>
        <w:rPr>
          <w:rFonts w:ascii="Arial" w:hAnsi="Arial" w:cs="Arial"/>
          <w:iCs/>
          <w:sz w:val="22"/>
          <w:szCs w:val="22"/>
        </w:rPr>
        <w:t xml:space="preserve"> amministrative per i cittadini italiani che soggiornano all’estero per periodi superiori ai 12 mesi e che, pur avendo l’obbligo, non provvedono all’iscrizione nei registri dell’Anagrafe </w:t>
      </w:r>
      <w:r w:rsidR="009D566A">
        <w:rPr>
          <w:rFonts w:ascii="Arial" w:hAnsi="Arial" w:cs="Arial"/>
          <w:iCs/>
          <w:sz w:val="22"/>
          <w:szCs w:val="22"/>
        </w:rPr>
        <w:t xml:space="preserve">italiana dei residenti all’estero </w:t>
      </w:r>
      <w:r>
        <w:rPr>
          <w:rFonts w:ascii="Arial" w:hAnsi="Arial" w:cs="Arial"/>
          <w:iCs/>
          <w:sz w:val="22"/>
          <w:szCs w:val="22"/>
        </w:rPr>
        <w:t>(AIRE).</w:t>
      </w:r>
    </w:p>
    <w:p w14:paraId="15FC812C" w14:textId="30F5080B" w:rsidR="004F25E1" w:rsidRDefault="00F458E8" w:rsidP="00F458E8">
      <w:pPr>
        <w:spacing w:after="120"/>
        <w:jc w:val="both"/>
        <w:rPr>
          <w:rFonts w:ascii="Arial" w:hAnsi="Arial" w:cs="Arial"/>
          <w:iCs/>
          <w:sz w:val="22"/>
          <w:szCs w:val="22"/>
        </w:rPr>
      </w:pPr>
      <w:r w:rsidRPr="00A03125">
        <w:rPr>
          <w:rFonts w:ascii="Arial" w:hAnsi="Arial" w:cs="Arial"/>
          <w:iCs/>
          <w:sz w:val="22"/>
          <w:szCs w:val="22"/>
        </w:rPr>
        <w:t>Nel</w:t>
      </w:r>
      <w:r w:rsidR="00780D19" w:rsidRPr="00A03125">
        <w:rPr>
          <w:rFonts w:ascii="Arial" w:hAnsi="Arial" w:cs="Arial"/>
          <w:iCs/>
          <w:sz w:val="22"/>
          <w:szCs w:val="22"/>
        </w:rPr>
        <w:t xml:space="preserve"> biennio 202</w:t>
      </w:r>
      <w:r w:rsidR="00320B01">
        <w:rPr>
          <w:rFonts w:ascii="Arial" w:hAnsi="Arial" w:cs="Arial"/>
          <w:iCs/>
          <w:sz w:val="22"/>
          <w:szCs w:val="22"/>
        </w:rPr>
        <w:t>3</w:t>
      </w:r>
      <w:r w:rsidR="00780D19" w:rsidRPr="00A03125">
        <w:rPr>
          <w:rFonts w:ascii="Arial" w:hAnsi="Arial" w:cs="Arial"/>
          <w:iCs/>
          <w:sz w:val="22"/>
          <w:szCs w:val="22"/>
        </w:rPr>
        <w:t>-2</w:t>
      </w:r>
      <w:r w:rsidR="00320B01">
        <w:rPr>
          <w:rFonts w:ascii="Arial" w:hAnsi="Arial" w:cs="Arial"/>
          <w:iCs/>
          <w:sz w:val="22"/>
          <w:szCs w:val="22"/>
        </w:rPr>
        <w:t>4</w:t>
      </w:r>
      <w:r w:rsidRPr="00A03125">
        <w:rPr>
          <w:rFonts w:ascii="Arial" w:hAnsi="Arial" w:cs="Arial"/>
          <w:iCs/>
          <w:sz w:val="22"/>
          <w:szCs w:val="22"/>
        </w:rPr>
        <w:t xml:space="preserve"> oltre la metà degli espatri ha origine nel </w:t>
      </w:r>
      <w:r w:rsidR="00B94702" w:rsidRPr="00A03125">
        <w:rPr>
          <w:rFonts w:ascii="Arial" w:hAnsi="Arial" w:cs="Arial"/>
          <w:iCs/>
          <w:sz w:val="22"/>
          <w:szCs w:val="22"/>
        </w:rPr>
        <w:t>Nord (</w:t>
      </w:r>
      <w:r w:rsidR="00A03125" w:rsidRPr="00A03125">
        <w:rPr>
          <w:rFonts w:ascii="Arial" w:hAnsi="Arial" w:cs="Arial"/>
          <w:iCs/>
          <w:sz w:val="22"/>
          <w:szCs w:val="22"/>
        </w:rPr>
        <w:t>5</w:t>
      </w:r>
      <w:r w:rsidR="00320B01">
        <w:rPr>
          <w:rFonts w:ascii="Arial" w:hAnsi="Arial" w:cs="Arial"/>
          <w:iCs/>
          <w:sz w:val="22"/>
          <w:szCs w:val="22"/>
        </w:rPr>
        <w:t>1,2</w:t>
      </w:r>
      <w:r w:rsidR="00A03125" w:rsidRPr="00A03125">
        <w:rPr>
          <w:rFonts w:ascii="Arial" w:hAnsi="Arial" w:cs="Arial"/>
          <w:iCs/>
          <w:sz w:val="22"/>
          <w:szCs w:val="22"/>
        </w:rPr>
        <w:t>%)</w:t>
      </w:r>
      <w:r w:rsidRPr="00A03125">
        <w:rPr>
          <w:rFonts w:ascii="Arial" w:hAnsi="Arial" w:cs="Arial"/>
          <w:iCs/>
          <w:sz w:val="22"/>
          <w:szCs w:val="22"/>
        </w:rPr>
        <w:t xml:space="preserve">: in particolare </w:t>
      </w:r>
      <w:r w:rsidR="00A03125" w:rsidRPr="00A03125">
        <w:rPr>
          <w:rFonts w:ascii="Arial" w:hAnsi="Arial" w:cs="Arial"/>
          <w:iCs/>
          <w:sz w:val="22"/>
          <w:szCs w:val="22"/>
        </w:rPr>
        <w:t xml:space="preserve">sono </w:t>
      </w:r>
      <w:r w:rsidR="00457566" w:rsidRPr="00A03125">
        <w:rPr>
          <w:rFonts w:ascii="Arial" w:hAnsi="Arial" w:cs="Arial"/>
          <w:iCs/>
          <w:sz w:val="22"/>
          <w:szCs w:val="22"/>
        </w:rPr>
        <w:t>partiti 81</w:t>
      </w:r>
      <w:r w:rsidR="00A03125" w:rsidRPr="00A03125">
        <w:rPr>
          <w:rFonts w:ascii="Arial" w:hAnsi="Arial" w:cs="Arial"/>
          <w:iCs/>
          <w:sz w:val="22"/>
          <w:szCs w:val="22"/>
        </w:rPr>
        <w:t>mila</w:t>
      </w:r>
      <w:r w:rsidRPr="00A03125">
        <w:rPr>
          <w:rFonts w:ascii="Arial" w:hAnsi="Arial" w:cs="Arial"/>
          <w:iCs/>
          <w:sz w:val="22"/>
          <w:szCs w:val="22"/>
        </w:rPr>
        <w:t xml:space="preserve"> italiani (</w:t>
      </w:r>
      <w:r w:rsidR="00A77F16">
        <w:rPr>
          <w:rFonts w:ascii="Arial" w:hAnsi="Arial" w:cs="Arial"/>
          <w:iCs/>
          <w:sz w:val="22"/>
          <w:szCs w:val="22"/>
        </w:rPr>
        <w:t>30,2</w:t>
      </w:r>
      <w:r w:rsidRPr="00A03125">
        <w:rPr>
          <w:rFonts w:ascii="Arial" w:hAnsi="Arial" w:cs="Arial"/>
          <w:iCs/>
          <w:sz w:val="22"/>
          <w:szCs w:val="22"/>
        </w:rPr>
        <w:t xml:space="preserve">% degli </w:t>
      </w:r>
      <w:r w:rsidR="00A03125" w:rsidRPr="00A03125">
        <w:rPr>
          <w:rFonts w:ascii="Arial" w:hAnsi="Arial" w:cs="Arial"/>
          <w:iCs/>
          <w:sz w:val="22"/>
          <w:szCs w:val="22"/>
        </w:rPr>
        <w:t xml:space="preserve">espatri) </w:t>
      </w:r>
      <w:r w:rsidR="000A6736" w:rsidRPr="00A03125">
        <w:rPr>
          <w:rFonts w:ascii="Arial" w:hAnsi="Arial" w:cs="Arial"/>
          <w:iCs/>
          <w:sz w:val="22"/>
          <w:szCs w:val="22"/>
        </w:rPr>
        <w:t xml:space="preserve">dal Nord-ovest </w:t>
      </w:r>
      <w:r w:rsidR="00A03125" w:rsidRPr="00A03125">
        <w:rPr>
          <w:rFonts w:ascii="Arial" w:hAnsi="Arial" w:cs="Arial"/>
          <w:iCs/>
          <w:sz w:val="22"/>
          <w:szCs w:val="22"/>
        </w:rPr>
        <w:t xml:space="preserve">e </w:t>
      </w:r>
      <w:r w:rsidR="00A77F16">
        <w:rPr>
          <w:rFonts w:ascii="Arial" w:hAnsi="Arial" w:cs="Arial"/>
          <w:iCs/>
          <w:sz w:val="22"/>
          <w:szCs w:val="22"/>
        </w:rPr>
        <w:t>57</w:t>
      </w:r>
      <w:r w:rsidRPr="00A03125">
        <w:rPr>
          <w:rFonts w:ascii="Arial" w:hAnsi="Arial" w:cs="Arial"/>
          <w:iCs/>
          <w:sz w:val="22"/>
          <w:szCs w:val="22"/>
        </w:rPr>
        <w:t xml:space="preserve">mila </w:t>
      </w:r>
      <w:r w:rsidR="000A6736" w:rsidRPr="00A03125">
        <w:rPr>
          <w:rFonts w:ascii="Arial" w:hAnsi="Arial" w:cs="Arial"/>
          <w:iCs/>
          <w:sz w:val="22"/>
          <w:szCs w:val="22"/>
        </w:rPr>
        <w:t xml:space="preserve">dal Nord-est </w:t>
      </w:r>
      <w:r w:rsidRPr="00A03125">
        <w:rPr>
          <w:rFonts w:ascii="Arial" w:hAnsi="Arial" w:cs="Arial"/>
          <w:iCs/>
          <w:sz w:val="22"/>
          <w:szCs w:val="22"/>
        </w:rPr>
        <w:t>(</w:t>
      </w:r>
      <w:r w:rsidR="00A03125" w:rsidRPr="00A03125">
        <w:rPr>
          <w:rFonts w:ascii="Arial" w:hAnsi="Arial" w:cs="Arial"/>
          <w:iCs/>
          <w:sz w:val="22"/>
          <w:szCs w:val="22"/>
        </w:rPr>
        <w:t>2</w:t>
      </w:r>
      <w:r w:rsidR="00A77F16">
        <w:rPr>
          <w:rFonts w:ascii="Arial" w:hAnsi="Arial" w:cs="Arial"/>
          <w:iCs/>
          <w:sz w:val="22"/>
          <w:szCs w:val="22"/>
        </w:rPr>
        <w:t>1</w:t>
      </w:r>
      <w:r w:rsidRPr="00A03125">
        <w:rPr>
          <w:rFonts w:ascii="Arial" w:hAnsi="Arial" w:cs="Arial"/>
          <w:iCs/>
          <w:sz w:val="22"/>
          <w:szCs w:val="22"/>
        </w:rPr>
        <w:t>%). Numerose anche le partenze dal Sud (</w:t>
      </w:r>
      <w:r w:rsidR="00A03125" w:rsidRPr="00A03125">
        <w:rPr>
          <w:rFonts w:ascii="Arial" w:hAnsi="Arial" w:cs="Arial"/>
          <w:iCs/>
          <w:sz w:val="22"/>
          <w:szCs w:val="22"/>
        </w:rPr>
        <w:t xml:space="preserve">in totale </w:t>
      </w:r>
      <w:r w:rsidR="00A77F16">
        <w:rPr>
          <w:rFonts w:ascii="Arial" w:hAnsi="Arial" w:cs="Arial"/>
          <w:iCs/>
          <w:sz w:val="22"/>
          <w:szCs w:val="22"/>
        </w:rPr>
        <w:t>5</w:t>
      </w:r>
      <w:r w:rsidR="00EB6301">
        <w:rPr>
          <w:rFonts w:ascii="Arial" w:hAnsi="Arial" w:cs="Arial"/>
          <w:iCs/>
          <w:sz w:val="22"/>
          <w:szCs w:val="22"/>
        </w:rPr>
        <w:t>4</w:t>
      </w:r>
      <w:r w:rsidR="00A03125" w:rsidRPr="00A03125">
        <w:rPr>
          <w:rFonts w:ascii="Arial" w:hAnsi="Arial" w:cs="Arial"/>
          <w:iCs/>
          <w:sz w:val="22"/>
          <w:szCs w:val="22"/>
        </w:rPr>
        <w:t xml:space="preserve">mila, </w:t>
      </w:r>
      <w:r w:rsidR="00A77F16">
        <w:rPr>
          <w:rFonts w:ascii="Arial" w:hAnsi="Arial" w:cs="Arial"/>
          <w:iCs/>
          <w:sz w:val="22"/>
          <w:szCs w:val="22"/>
        </w:rPr>
        <w:t>20,2</w:t>
      </w:r>
      <w:r w:rsidR="00A03125" w:rsidRPr="00A03125">
        <w:rPr>
          <w:rFonts w:ascii="Arial" w:hAnsi="Arial" w:cs="Arial"/>
          <w:iCs/>
          <w:sz w:val="22"/>
          <w:szCs w:val="22"/>
        </w:rPr>
        <w:t>%) e dal Centro (</w:t>
      </w:r>
      <w:r w:rsidR="00A77F16">
        <w:rPr>
          <w:rFonts w:ascii="Arial" w:hAnsi="Arial" w:cs="Arial"/>
          <w:iCs/>
          <w:sz w:val="22"/>
          <w:szCs w:val="22"/>
        </w:rPr>
        <w:t>47</w:t>
      </w:r>
      <w:r w:rsidRPr="00A03125">
        <w:rPr>
          <w:rFonts w:ascii="Arial" w:hAnsi="Arial" w:cs="Arial"/>
          <w:iCs/>
          <w:sz w:val="22"/>
          <w:szCs w:val="22"/>
        </w:rPr>
        <w:t>mila, 1</w:t>
      </w:r>
      <w:r w:rsidR="00A77F16">
        <w:rPr>
          <w:rFonts w:ascii="Arial" w:hAnsi="Arial" w:cs="Arial"/>
          <w:iCs/>
          <w:sz w:val="22"/>
          <w:szCs w:val="22"/>
        </w:rPr>
        <w:t>7,3</w:t>
      </w:r>
      <w:r w:rsidRPr="00A03125">
        <w:rPr>
          <w:rFonts w:ascii="Arial" w:hAnsi="Arial" w:cs="Arial"/>
          <w:iCs/>
          <w:sz w:val="22"/>
          <w:szCs w:val="22"/>
        </w:rPr>
        <w:t xml:space="preserve">%), mentre dalle Isole </w:t>
      </w:r>
      <w:r w:rsidR="00247796">
        <w:rPr>
          <w:rFonts w:ascii="Arial" w:hAnsi="Arial" w:cs="Arial"/>
          <w:iCs/>
          <w:sz w:val="22"/>
          <w:szCs w:val="22"/>
        </w:rPr>
        <w:t>si contano</w:t>
      </w:r>
      <w:r w:rsidR="00247796" w:rsidRPr="00A03125">
        <w:rPr>
          <w:rFonts w:ascii="Arial" w:hAnsi="Arial" w:cs="Arial"/>
          <w:iCs/>
          <w:sz w:val="22"/>
          <w:szCs w:val="22"/>
        </w:rPr>
        <w:t xml:space="preserve"> </w:t>
      </w:r>
      <w:r w:rsidR="00A03125" w:rsidRPr="00A03125">
        <w:rPr>
          <w:rFonts w:ascii="Arial" w:hAnsi="Arial" w:cs="Arial"/>
          <w:iCs/>
          <w:sz w:val="22"/>
          <w:szCs w:val="22"/>
        </w:rPr>
        <w:t xml:space="preserve">in due anni complessivamente </w:t>
      </w:r>
      <w:r w:rsidR="00A77F16">
        <w:rPr>
          <w:rFonts w:ascii="Arial" w:hAnsi="Arial" w:cs="Arial"/>
          <w:iCs/>
          <w:sz w:val="22"/>
          <w:szCs w:val="22"/>
        </w:rPr>
        <w:t>30</w:t>
      </w:r>
      <w:r w:rsidRPr="00A03125">
        <w:rPr>
          <w:rFonts w:ascii="Arial" w:hAnsi="Arial" w:cs="Arial"/>
          <w:iCs/>
          <w:sz w:val="22"/>
          <w:szCs w:val="22"/>
        </w:rPr>
        <w:t xml:space="preserve">mila </w:t>
      </w:r>
      <w:r w:rsidRPr="004F25E1">
        <w:rPr>
          <w:rFonts w:ascii="Arial" w:hAnsi="Arial" w:cs="Arial"/>
          <w:iCs/>
          <w:sz w:val="22"/>
          <w:szCs w:val="22"/>
        </w:rPr>
        <w:t xml:space="preserve">italiani </w:t>
      </w:r>
      <w:r w:rsidR="00247796">
        <w:rPr>
          <w:rFonts w:ascii="Arial" w:hAnsi="Arial" w:cs="Arial"/>
          <w:iCs/>
          <w:sz w:val="22"/>
          <w:szCs w:val="22"/>
        </w:rPr>
        <w:t>espatriati</w:t>
      </w:r>
      <w:r w:rsidR="00247796" w:rsidRPr="004F25E1">
        <w:rPr>
          <w:rFonts w:ascii="Arial" w:hAnsi="Arial" w:cs="Arial"/>
          <w:iCs/>
          <w:sz w:val="22"/>
          <w:szCs w:val="22"/>
        </w:rPr>
        <w:t xml:space="preserve"> </w:t>
      </w:r>
      <w:r w:rsidRPr="004F25E1">
        <w:rPr>
          <w:rFonts w:ascii="Arial" w:hAnsi="Arial" w:cs="Arial"/>
          <w:iCs/>
          <w:sz w:val="22"/>
          <w:szCs w:val="22"/>
        </w:rPr>
        <w:t>(</w:t>
      </w:r>
      <w:r w:rsidR="00A03125" w:rsidRPr="004F25E1">
        <w:rPr>
          <w:rFonts w:ascii="Arial" w:hAnsi="Arial" w:cs="Arial"/>
          <w:iCs/>
          <w:sz w:val="22"/>
          <w:szCs w:val="22"/>
        </w:rPr>
        <w:t>1</w:t>
      </w:r>
      <w:r w:rsidR="00A77F16" w:rsidRPr="004F25E1">
        <w:rPr>
          <w:rFonts w:ascii="Arial" w:hAnsi="Arial" w:cs="Arial"/>
          <w:iCs/>
          <w:sz w:val="22"/>
          <w:szCs w:val="22"/>
        </w:rPr>
        <w:t>1,3</w:t>
      </w:r>
      <w:r w:rsidRPr="004F25E1">
        <w:rPr>
          <w:rFonts w:ascii="Arial" w:hAnsi="Arial" w:cs="Arial"/>
          <w:iCs/>
          <w:sz w:val="22"/>
          <w:szCs w:val="22"/>
        </w:rPr>
        <w:t>%).</w:t>
      </w:r>
      <w:r w:rsidR="004F25E1">
        <w:rPr>
          <w:rFonts w:ascii="Arial" w:hAnsi="Arial" w:cs="Arial"/>
          <w:iCs/>
          <w:sz w:val="22"/>
          <w:szCs w:val="22"/>
        </w:rPr>
        <w:t xml:space="preserve"> </w:t>
      </w:r>
    </w:p>
    <w:p w14:paraId="6B62FA36" w14:textId="77777777" w:rsidR="00247796" w:rsidRDefault="004F25E1" w:rsidP="00F458E8">
      <w:pPr>
        <w:spacing w:after="120"/>
        <w:jc w:val="both"/>
        <w:rPr>
          <w:rFonts w:ascii="Arial" w:hAnsi="Arial" w:cs="Arial"/>
          <w:iCs/>
          <w:sz w:val="22"/>
          <w:szCs w:val="22"/>
        </w:rPr>
      </w:pPr>
      <w:r w:rsidRPr="0058290E">
        <w:rPr>
          <w:rFonts w:ascii="Arial" w:hAnsi="Arial" w:cs="Arial"/>
          <w:iCs/>
          <w:sz w:val="22"/>
          <w:szCs w:val="22"/>
        </w:rPr>
        <w:t>L’andamento del tasso di emigratorietà dei cittadini italiani testimonia la ripresa della propensione a espatriare: se nel 2021 era pari all’1,7 per mille e nel 2022 all’1,8 per mille, nel biennio 2023-2</w:t>
      </w:r>
      <w:r w:rsidR="007D326F" w:rsidRPr="0058290E">
        <w:rPr>
          <w:rFonts w:ascii="Arial" w:hAnsi="Arial" w:cs="Arial"/>
          <w:iCs/>
          <w:sz w:val="22"/>
          <w:szCs w:val="22"/>
        </w:rPr>
        <w:t>4</w:t>
      </w:r>
      <w:r w:rsidRPr="0058290E">
        <w:rPr>
          <w:rFonts w:ascii="Arial" w:hAnsi="Arial" w:cs="Arial"/>
          <w:iCs/>
          <w:sz w:val="22"/>
          <w:szCs w:val="22"/>
        </w:rPr>
        <w:t xml:space="preserve"> si attesta in media al 2,5 per mille. I tassi sono superiori alla media nazionale nel Nord, da dove sono partiti </w:t>
      </w:r>
      <w:r w:rsidR="00F56235" w:rsidRPr="0058290E">
        <w:rPr>
          <w:rFonts w:ascii="Arial" w:hAnsi="Arial" w:cs="Arial"/>
          <w:iCs/>
          <w:sz w:val="22"/>
          <w:szCs w:val="22"/>
        </w:rPr>
        <w:t xml:space="preserve">in media quasi 3 italiani su </w:t>
      </w:r>
      <w:r w:rsidR="00D340BF">
        <w:rPr>
          <w:rFonts w:ascii="Arial" w:hAnsi="Arial" w:cs="Arial"/>
          <w:iCs/>
          <w:sz w:val="22"/>
          <w:szCs w:val="22"/>
        </w:rPr>
        <w:t>mille</w:t>
      </w:r>
      <w:r w:rsidR="00D340BF" w:rsidRPr="0058290E">
        <w:rPr>
          <w:rFonts w:ascii="Arial" w:hAnsi="Arial" w:cs="Arial"/>
          <w:iCs/>
          <w:sz w:val="22"/>
          <w:szCs w:val="22"/>
        </w:rPr>
        <w:t xml:space="preserve"> </w:t>
      </w:r>
      <w:r w:rsidR="00F56235" w:rsidRPr="0058290E">
        <w:rPr>
          <w:rFonts w:ascii="Arial" w:hAnsi="Arial" w:cs="Arial"/>
          <w:iCs/>
          <w:sz w:val="22"/>
          <w:szCs w:val="22"/>
        </w:rPr>
        <w:t xml:space="preserve">residenti nel biennio considerato, più bassi nel Centro e nel Mezzogiorno (2,2 per mille per entrambe le ripartizioni). </w:t>
      </w:r>
    </w:p>
    <w:p w14:paraId="4EE2F4ED" w14:textId="4E3F69EB" w:rsidR="004F456F" w:rsidRPr="0058290E" w:rsidRDefault="004F456F" w:rsidP="00F458E8">
      <w:pPr>
        <w:spacing w:after="120"/>
        <w:jc w:val="both"/>
        <w:rPr>
          <w:rFonts w:ascii="Arial" w:hAnsi="Arial" w:cs="Arial"/>
          <w:iCs/>
          <w:sz w:val="22"/>
          <w:szCs w:val="22"/>
        </w:rPr>
      </w:pPr>
      <w:r w:rsidRPr="0058290E">
        <w:rPr>
          <w:rFonts w:ascii="Arial" w:hAnsi="Arial" w:cs="Arial"/>
          <w:iCs/>
          <w:sz w:val="22"/>
          <w:szCs w:val="22"/>
        </w:rPr>
        <w:t>Tra le regioni del Nord, il Trentino-Alto Adige si conferma la regione con il tasso di emigratorietà più alto (3,8 per mille nel biennio 2023-24), grazie anche alla posizione geografica che facilit</w:t>
      </w:r>
      <w:r w:rsidR="00247796">
        <w:rPr>
          <w:rFonts w:ascii="Arial" w:hAnsi="Arial" w:cs="Arial"/>
          <w:iCs/>
          <w:sz w:val="22"/>
          <w:szCs w:val="22"/>
        </w:rPr>
        <w:t>a</w:t>
      </w:r>
      <w:r w:rsidRPr="0058290E">
        <w:rPr>
          <w:rFonts w:ascii="Arial" w:hAnsi="Arial" w:cs="Arial"/>
          <w:iCs/>
          <w:sz w:val="22"/>
          <w:szCs w:val="22"/>
        </w:rPr>
        <w:t xml:space="preserve"> gli spostamenti </w:t>
      </w:r>
      <w:r w:rsidR="00FD2AD0" w:rsidRPr="0058290E">
        <w:rPr>
          <w:rFonts w:ascii="Arial" w:hAnsi="Arial" w:cs="Arial"/>
          <w:iCs/>
          <w:sz w:val="22"/>
          <w:szCs w:val="22"/>
        </w:rPr>
        <w:t>di confine</w:t>
      </w:r>
      <w:r w:rsidRPr="0058290E">
        <w:rPr>
          <w:rFonts w:ascii="Arial" w:hAnsi="Arial" w:cs="Arial"/>
          <w:iCs/>
          <w:sz w:val="22"/>
          <w:szCs w:val="22"/>
        </w:rPr>
        <w:t>.</w:t>
      </w:r>
      <w:r w:rsidR="00FE69BB" w:rsidRPr="0058290E">
        <w:rPr>
          <w:rFonts w:ascii="Arial" w:hAnsi="Arial" w:cs="Arial"/>
          <w:iCs/>
          <w:sz w:val="22"/>
          <w:szCs w:val="22"/>
        </w:rPr>
        <w:t xml:space="preserve"> Nel Centro</w:t>
      </w:r>
      <w:r w:rsidR="000A6736">
        <w:rPr>
          <w:rFonts w:ascii="Arial" w:hAnsi="Arial" w:cs="Arial"/>
          <w:iCs/>
          <w:sz w:val="22"/>
          <w:szCs w:val="22"/>
        </w:rPr>
        <w:t>,</w:t>
      </w:r>
      <w:r w:rsidR="00FE69BB" w:rsidRPr="0058290E">
        <w:rPr>
          <w:rFonts w:ascii="Arial" w:hAnsi="Arial" w:cs="Arial"/>
          <w:iCs/>
          <w:sz w:val="22"/>
          <w:szCs w:val="22"/>
        </w:rPr>
        <w:t xml:space="preserve"> il tasso più elevato si rileva nelle Marche (2,7 per mille)</w:t>
      </w:r>
      <w:r w:rsidR="00247796">
        <w:rPr>
          <w:rFonts w:ascii="Arial" w:hAnsi="Arial" w:cs="Arial"/>
          <w:iCs/>
          <w:sz w:val="22"/>
          <w:szCs w:val="22"/>
        </w:rPr>
        <w:t xml:space="preserve"> e,</w:t>
      </w:r>
      <w:r w:rsidR="00FE69BB" w:rsidRPr="0058290E">
        <w:rPr>
          <w:rFonts w:ascii="Arial" w:hAnsi="Arial" w:cs="Arial"/>
          <w:iCs/>
          <w:sz w:val="22"/>
          <w:szCs w:val="22"/>
        </w:rPr>
        <w:t xml:space="preserve"> nel Mezzogiorno</w:t>
      </w:r>
      <w:r w:rsidR="00247796">
        <w:rPr>
          <w:rFonts w:ascii="Arial" w:hAnsi="Arial" w:cs="Arial"/>
          <w:iCs/>
          <w:sz w:val="22"/>
          <w:szCs w:val="22"/>
        </w:rPr>
        <w:t>,</w:t>
      </w:r>
      <w:r w:rsidR="00FE69BB" w:rsidRPr="0058290E">
        <w:rPr>
          <w:rFonts w:ascii="Arial" w:hAnsi="Arial" w:cs="Arial"/>
          <w:iCs/>
          <w:sz w:val="22"/>
          <w:szCs w:val="22"/>
        </w:rPr>
        <w:t xml:space="preserve"> in Molise (3,9 per mille) e Calabria (3,2 per mille). Campania e Puglia sono le regioni con i tassi più bassi (1,8 per mille). </w:t>
      </w:r>
      <w:r w:rsidR="007031C9" w:rsidRPr="0058290E">
        <w:rPr>
          <w:rFonts w:ascii="Arial" w:hAnsi="Arial" w:cs="Arial"/>
          <w:iCs/>
          <w:sz w:val="22"/>
          <w:szCs w:val="22"/>
        </w:rPr>
        <w:t xml:space="preserve">A livello provinciale, i tassi </w:t>
      </w:r>
      <w:r w:rsidR="00247796">
        <w:rPr>
          <w:rFonts w:ascii="Arial" w:hAnsi="Arial" w:cs="Arial"/>
          <w:iCs/>
          <w:sz w:val="22"/>
          <w:szCs w:val="22"/>
        </w:rPr>
        <w:t xml:space="preserve">sono </w:t>
      </w:r>
      <w:r w:rsidR="007031C9" w:rsidRPr="0058290E">
        <w:rPr>
          <w:rFonts w:ascii="Arial" w:hAnsi="Arial" w:cs="Arial"/>
          <w:iCs/>
          <w:sz w:val="22"/>
          <w:szCs w:val="22"/>
        </w:rPr>
        <w:t xml:space="preserve">più elevati a Bolzano/Bozen (4,9 per mille) e </w:t>
      </w:r>
      <w:r w:rsidR="000A6736">
        <w:rPr>
          <w:rFonts w:ascii="Arial" w:hAnsi="Arial" w:cs="Arial"/>
          <w:iCs/>
          <w:sz w:val="22"/>
          <w:szCs w:val="22"/>
        </w:rPr>
        <w:t xml:space="preserve">a </w:t>
      </w:r>
      <w:r w:rsidR="00DB11C0">
        <w:rPr>
          <w:rFonts w:ascii="Arial" w:hAnsi="Arial" w:cs="Arial"/>
          <w:iCs/>
          <w:sz w:val="22"/>
          <w:szCs w:val="22"/>
        </w:rPr>
        <w:t>Treviso</w:t>
      </w:r>
      <w:r w:rsidR="00DB11C0" w:rsidRPr="0058290E">
        <w:rPr>
          <w:rFonts w:ascii="Arial" w:hAnsi="Arial" w:cs="Arial"/>
          <w:iCs/>
          <w:sz w:val="22"/>
          <w:szCs w:val="22"/>
        </w:rPr>
        <w:t xml:space="preserve"> </w:t>
      </w:r>
      <w:r w:rsidR="007031C9" w:rsidRPr="0058290E">
        <w:rPr>
          <w:rFonts w:ascii="Arial" w:hAnsi="Arial" w:cs="Arial"/>
          <w:iCs/>
          <w:sz w:val="22"/>
          <w:szCs w:val="22"/>
        </w:rPr>
        <w:t>(</w:t>
      </w:r>
      <w:r w:rsidR="00DB11C0">
        <w:rPr>
          <w:rFonts w:ascii="Arial" w:hAnsi="Arial" w:cs="Arial"/>
          <w:iCs/>
          <w:sz w:val="22"/>
          <w:szCs w:val="22"/>
        </w:rPr>
        <w:t>4</w:t>
      </w:r>
      <w:r w:rsidR="007031C9" w:rsidRPr="0058290E">
        <w:rPr>
          <w:rFonts w:ascii="Arial" w:hAnsi="Arial" w:cs="Arial"/>
          <w:iCs/>
          <w:sz w:val="22"/>
          <w:szCs w:val="22"/>
        </w:rPr>
        <w:t>,</w:t>
      </w:r>
      <w:r w:rsidR="00DB11C0">
        <w:rPr>
          <w:rFonts w:ascii="Arial" w:hAnsi="Arial" w:cs="Arial"/>
          <w:iCs/>
          <w:sz w:val="22"/>
          <w:szCs w:val="22"/>
        </w:rPr>
        <w:t>4</w:t>
      </w:r>
      <w:r w:rsidR="007031C9" w:rsidRPr="0058290E">
        <w:rPr>
          <w:rFonts w:ascii="Arial" w:hAnsi="Arial" w:cs="Arial"/>
          <w:iCs/>
          <w:sz w:val="22"/>
          <w:szCs w:val="22"/>
        </w:rPr>
        <w:t xml:space="preserve"> per mille), quelli più bassi nelle province di Taranto (1,4 per mille) e Caserta (1,5 per mille). </w:t>
      </w:r>
    </w:p>
    <w:p w14:paraId="3C4DF8D8" w14:textId="7EE1D3EB" w:rsidR="00E71D6C" w:rsidRDefault="00FE69BB" w:rsidP="00FE69BB">
      <w:pPr>
        <w:spacing w:after="120"/>
        <w:jc w:val="both"/>
        <w:rPr>
          <w:rFonts w:ascii="Arial" w:hAnsi="Arial" w:cs="Arial"/>
          <w:iCs/>
          <w:sz w:val="22"/>
          <w:szCs w:val="22"/>
        </w:rPr>
      </w:pPr>
      <w:r w:rsidRPr="0058290E">
        <w:rPr>
          <w:rFonts w:ascii="Arial" w:hAnsi="Arial" w:cs="Arial"/>
          <w:iCs/>
          <w:sz w:val="22"/>
          <w:szCs w:val="22"/>
        </w:rPr>
        <w:t xml:space="preserve">L’Europa </w:t>
      </w:r>
      <w:r w:rsidR="002548C4">
        <w:rPr>
          <w:rFonts w:ascii="Arial" w:hAnsi="Arial" w:cs="Arial"/>
          <w:iCs/>
          <w:sz w:val="22"/>
          <w:szCs w:val="22"/>
        </w:rPr>
        <w:t>resta</w:t>
      </w:r>
      <w:r w:rsidRPr="0058290E">
        <w:rPr>
          <w:rFonts w:ascii="Arial" w:hAnsi="Arial" w:cs="Arial"/>
          <w:iCs/>
          <w:sz w:val="22"/>
          <w:szCs w:val="22"/>
        </w:rPr>
        <w:t xml:space="preserve"> la principale area di destinazione. Tra i </w:t>
      </w:r>
      <w:r w:rsidR="00247796">
        <w:rPr>
          <w:rFonts w:ascii="Arial" w:hAnsi="Arial" w:cs="Arial"/>
          <w:iCs/>
          <w:sz w:val="22"/>
          <w:szCs w:val="22"/>
        </w:rPr>
        <w:t>P</w:t>
      </w:r>
      <w:r w:rsidRPr="0058290E">
        <w:rPr>
          <w:rFonts w:ascii="Arial" w:hAnsi="Arial" w:cs="Arial"/>
          <w:iCs/>
          <w:sz w:val="22"/>
          <w:szCs w:val="22"/>
        </w:rPr>
        <w:t>aesi europei, Regno Unito, Germania, Francia, Svizzera e Spagna accolgono quasi il 55%</w:t>
      </w:r>
      <w:r w:rsidR="002548C4">
        <w:rPr>
          <w:rFonts w:ascii="Arial" w:hAnsi="Arial" w:cs="Arial"/>
          <w:iCs/>
          <w:sz w:val="22"/>
          <w:szCs w:val="22"/>
        </w:rPr>
        <w:t xml:space="preserve"> </w:t>
      </w:r>
      <w:r w:rsidR="002548C4" w:rsidRPr="0058290E">
        <w:rPr>
          <w:rFonts w:ascii="Arial" w:hAnsi="Arial" w:cs="Arial"/>
          <w:iCs/>
          <w:sz w:val="22"/>
          <w:szCs w:val="22"/>
        </w:rPr>
        <w:t>degli espatri</w:t>
      </w:r>
      <w:r w:rsidRPr="0058290E">
        <w:rPr>
          <w:rFonts w:ascii="Arial" w:hAnsi="Arial" w:cs="Arial"/>
          <w:iCs/>
          <w:sz w:val="22"/>
          <w:szCs w:val="22"/>
        </w:rPr>
        <w:t xml:space="preserve">. </w:t>
      </w:r>
      <w:r w:rsidR="002548C4">
        <w:rPr>
          <w:rFonts w:ascii="Arial" w:hAnsi="Arial" w:cs="Arial"/>
          <w:iCs/>
          <w:sz w:val="22"/>
          <w:szCs w:val="22"/>
        </w:rPr>
        <w:t>Sono ancora</w:t>
      </w:r>
      <w:r w:rsidR="00EC144A" w:rsidRPr="0058290E">
        <w:rPr>
          <w:rFonts w:ascii="Arial" w:hAnsi="Arial" w:cs="Arial"/>
          <w:iCs/>
          <w:sz w:val="22"/>
          <w:szCs w:val="22"/>
        </w:rPr>
        <w:t xml:space="preserve"> consistenti</w:t>
      </w:r>
      <w:r w:rsidRPr="0058290E">
        <w:rPr>
          <w:rFonts w:ascii="Arial" w:hAnsi="Arial" w:cs="Arial"/>
          <w:iCs/>
          <w:sz w:val="22"/>
          <w:szCs w:val="22"/>
        </w:rPr>
        <w:t xml:space="preserve"> </w:t>
      </w:r>
      <w:r w:rsidR="00EC144A" w:rsidRPr="0058290E">
        <w:rPr>
          <w:rFonts w:ascii="Arial" w:hAnsi="Arial" w:cs="Arial"/>
          <w:iCs/>
          <w:sz w:val="22"/>
          <w:szCs w:val="22"/>
        </w:rPr>
        <w:t>gli</w:t>
      </w:r>
      <w:r w:rsidR="00513B2B" w:rsidRPr="0058290E">
        <w:rPr>
          <w:rFonts w:ascii="Arial" w:hAnsi="Arial" w:cs="Arial"/>
          <w:iCs/>
          <w:sz w:val="22"/>
          <w:szCs w:val="22"/>
        </w:rPr>
        <w:t xml:space="preserve"> espatri verso i </w:t>
      </w:r>
      <w:r w:rsidR="002548C4">
        <w:rPr>
          <w:rFonts w:ascii="Arial" w:hAnsi="Arial" w:cs="Arial"/>
          <w:iCs/>
          <w:sz w:val="22"/>
          <w:szCs w:val="22"/>
        </w:rPr>
        <w:t>P</w:t>
      </w:r>
      <w:r w:rsidR="00513B2B" w:rsidRPr="0058290E">
        <w:rPr>
          <w:rFonts w:ascii="Arial" w:hAnsi="Arial" w:cs="Arial"/>
          <w:iCs/>
          <w:sz w:val="22"/>
          <w:szCs w:val="22"/>
        </w:rPr>
        <w:t>aesi dell’America Latina (</w:t>
      </w:r>
      <w:r w:rsidR="00EC144A" w:rsidRPr="0058290E">
        <w:rPr>
          <w:rFonts w:ascii="Arial" w:hAnsi="Arial" w:cs="Arial"/>
          <w:iCs/>
          <w:sz w:val="22"/>
          <w:szCs w:val="22"/>
        </w:rPr>
        <w:t>quasi il 10%</w:t>
      </w:r>
      <w:r w:rsidR="00513B2B" w:rsidRPr="0058290E">
        <w:rPr>
          <w:rFonts w:ascii="Arial" w:hAnsi="Arial" w:cs="Arial"/>
          <w:iCs/>
          <w:sz w:val="22"/>
          <w:szCs w:val="22"/>
        </w:rPr>
        <w:t xml:space="preserve"> del totale</w:t>
      </w:r>
      <w:r w:rsidR="008A7F6F" w:rsidRPr="0058290E">
        <w:rPr>
          <w:rFonts w:ascii="Arial" w:hAnsi="Arial" w:cs="Arial"/>
          <w:iCs/>
          <w:sz w:val="22"/>
          <w:szCs w:val="22"/>
        </w:rPr>
        <w:t>)</w:t>
      </w:r>
      <w:r w:rsidR="00513B2B" w:rsidRPr="0058290E">
        <w:rPr>
          <w:rFonts w:ascii="Arial" w:hAnsi="Arial" w:cs="Arial"/>
          <w:iCs/>
          <w:sz w:val="22"/>
          <w:szCs w:val="22"/>
        </w:rPr>
        <w:t xml:space="preserve">, in parte per </w:t>
      </w:r>
      <w:r w:rsidR="002548C4">
        <w:rPr>
          <w:rFonts w:ascii="Arial" w:hAnsi="Arial" w:cs="Arial"/>
          <w:iCs/>
          <w:sz w:val="22"/>
          <w:szCs w:val="22"/>
        </w:rPr>
        <w:t xml:space="preserve">il flusso </w:t>
      </w:r>
      <w:r w:rsidR="00513B2B" w:rsidRPr="0058290E">
        <w:rPr>
          <w:rFonts w:ascii="Arial" w:hAnsi="Arial" w:cs="Arial"/>
          <w:iCs/>
          <w:sz w:val="22"/>
          <w:szCs w:val="22"/>
        </w:rPr>
        <w:t>dei nuovi cittadini italiani che</w:t>
      </w:r>
      <w:r w:rsidR="002548C4">
        <w:rPr>
          <w:rFonts w:ascii="Arial" w:hAnsi="Arial" w:cs="Arial"/>
          <w:iCs/>
          <w:sz w:val="22"/>
          <w:szCs w:val="22"/>
        </w:rPr>
        <w:t>,</w:t>
      </w:r>
      <w:r w:rsidR="00513B2B" w:rsidRPr="0058290E">
        <w:rPr>
          <w:rFonts w:ascii="Arial" w:hAnsi="Arial" w:cs="Arial"/>
          <w:iCs/>
          <w:sz w:val="22"/>
          <w:szCs w:val="22"/>
        </w:rPr>
        <w:t xml:space="preserve"> dopo la permanenza in Italia necessaria per l’ottenimento della cittadinanza, rientrano in patria.</w:t>
      </w:r>
    </w:p>
    <w:p w14:paraId="21FA5BD7" w14:textId="77777777" w:rsidR="002548C4" w:rsidRPr="0058290E" w:rsidRDefault="002548C4" w:rsidP="00FE69BB">
      <w:pPr>
        <w:spacing w:after="120"/>
        <w:jc w:val="both"/>
        <w:rPr>
          <w:rFonts w:ascii="Arial" w:hAnsi="Arial" w:cs="Arial"/>
          <w:iCs/>
          <w:sz w:val="22"/>
          <w:szCs w:val="22"/>
        </w:rPr>
      </w:pPr>
    </w:p>
    <w:p w14:paraId="0043E4AE" w14:textId="2271EEDE" w:rsidR="008A0F0A" w:rsidRDefault="00E8593A" w:rsidP="00C239B8">
      <w:pPr>
        <w:autoSpaceDE w:val="0"/>
        <w:autoSpaceDN w:val="0"/>
        <w:adjustRightInd w:val="0"/>
        <w:spacing w:after="120"/>
        <w:rPr>
          <w:rFonts w:ascii="Arial Narrow" w:hAnsi="Arial Narrow" w:cs="Arial"/>
          <w:iCs/>
          <w:noProof/>
          <w:color w:val="1F497D" w:themeColor="text2"/>
          <w:sz w:val="22"/>
          <w:szCs w:val="22"/>
        </w:rPr>
      </w:pPr>
      <w:r>
        <w:rPr>
          <w:rFonts w:ascii="Arial Black" w:hAnsi="Arial Black" w:cs="Arial"/>
          <w:iCs/>
          <w:noProof/>
          <w:color w:val="1F497D" w:themeColor="text2"/>
          <w:sz w:val="22"/>
          <w:szCs w:val="22"/>
        </w:rPr>
        <w:t>FIGURA 4</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000747B1">
        <w:rPr>
          <w:rFonts w:ascii="Arial Narrow" w:hAnsi="Arial Narrow" w:cs="Arial"/>
          <w:b/>
          <w:iCs/>
          <w:noProof/>
          <w:color w:val="1F497D" w:themeColor="text2"/>
          <w:sz w:val="22"/>
          <w:szCs w:val="22"/>
        </w:rPr>
        <w:t>EMIGRAZIONI</w:t>
      </w:r>
      <w:r>
        <w:rPr>
          <w:rFonts w:ascii="Arial Narrow" w:hAnsi="Arial Narrow" w:cs="Arial"/>
          <w:b/>
          <w:iCs/>
          <w:noProof/>
          <w:color w:val="1F497D" w:themeColor="text2"/>
          <w:sz w:val="22"/>
          <w:szCs w:val="22"/>
        </w:rPr>
        <w:t xml:space="preserve"> </w:t>
      </w:r>
      <w:r w:rsidR="003A00B2">
        <w:rPr>
          <w:rFonts w:ascii="Arial Narrow" w:hAnsi="Arial Narrow" w:cs="Arial"/>
          <w:b/>
          <w:iCs/>
          <w:noProof/>
          <w:color w:val="1F497D" w:themeColor="text2"/>
          <w:sz w:val="22"/>
          <w:szCs w:val="22"/>
        </w:rPr>
        <w:t>DELLA POPOLAZIONE RESIDENTE PER CITTADINANZA (ITALIANA/STRANIERA)</w:t>
      </w:r>
      <w:r w:rsidRPr="00FB204E">
        <w:rPr>
          <w:rFonts w:ascii="Arial Narrow" w:hAnsi="Arial Narrow" w:cs="Arial"/>
          <w:b/>
          <w:iCs/>
          <w:noProof/>
          <w:color w:val="1F497D" w:themeColor="text2"/>
          <w:sz w:val="22"/>
          <w:szCs w:val="22"/>
        </w:rPr>
        <w:t>.</w:t>
      </w:r>
      <w:r>
        <w:rPr>
          <w:rFonts w:ascii="Arial Narrow" w:hAnsi="Arial Narrow" w:cs="Arial"/>
          <w:b/>
          <w:iCs/>
          <w:noProof/>
          <w:color w:val="1F497D" w:themeColor="text2"/>
          <w:sz w:val="22"/>
          <w:szCs w:val="22"/>
        </w:rPr>
        <w:t xml:space="preserve"> </w:t>
      </w:r>
      <w:r w:rsidRPr="0012394C">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i</w:t>
      </w:r>
      <w:r w:rsidRPr="0012394C">
        <w:rPr>
          <w:rFonts w:ascii="Arial Narrow" w:hAnsi="Arial Narrow" w:cs="Arial"/>
          <w:iCs/>
          <w:noProof/>
          <w:color w:val="1F497D" w:themeColor="text2"/>
          <w:sz w:val="22"/>
          <w:szCs w:val="22"/>
        </w:rPr>
        <w:t xml:space="preserve"> </w:t>
      </w:r>
      <w:r>
        <w:rPr>
          <w:rFonts w:ascii="Arial Narrow" w:hAnsi="Arial Narrow" w:cs="Arial"/>
          <w:iCs/>
          <w:noProof/>
          <w:color w:val="1F497D" w:themeColor="text2"/>
          <w:sz w:val="22"/>
          <w:szCs w:val="22"/>
        </w:rPr>
        <w:t>201</w:t>
      </w:r>
      <w:r w:rsidR="0000107C">
        <w:rPr>
          <w:rFonts w:ascii="Arial Narrow" w:hAnsi="Arial Narrow" w:cs="Arial"/>
          <w:iCs/>
          <w:noProof/>
          <w:color w:val="1F497D" w:themeColor="text2"/>
          <w:sz w:val="22"/>
          <w:szCs w:val="22"/>
        </w:rPr>
        <w:t>4-202</w:t>
      </w:r>
      <w:r w:rsidR="00EC0511">
        <w:rPr>
          <w:rFonts w:ascii="Arial Narrow" w:hAnsi="Arial Narrow" w:cs="Arial"/>
          <w:iCs/>
          <w:noProof/>
          <w:color w:val="1F497D" w:themeColor="text2"/>
          <w:sz w:val="22"/>
          <w:szCs w:val="22"/>
        </w:rPr>
        <w:t>4</w:t>
      </w:r>
      <w:r>
        <w:rPr>
          <w:rFonts w:ascii="Arial Narrow" w:hAnsi="Arial Narrow" w:cs="Arial"/>
          <w:iCs/>
          <w:noProof/>
          <w:color w:val="1F497D" w:themeColor="text2"/>
          <w:sz w:val="22"/>
          <w:szCs w:val="22"/>
        </w:rPr>
        <w:t>, valori assoluti in migliaia</w:t>
      </w:r>
    </w:p>
    <w:p w14:paraId="4010FEBE" w14:textId="0AE0CE6E" w:rsidR="003A00B2" w:rsidRDefault="005E22BE" w:rsidP="005E22BE">
      <w:pPr>
        <w:autoSpaceDE w:val="0"/>
        <w:autoSpaceDN w:val="0"/>
        <w:adjustRightInd w:val="0"/>
        <w:rPr>
          <w:rFonts w:ascii="Arial Narrow" w:hAnsi="Arial Narrow" w:cs="Arial"/>
          <w:iCs/>
          <w:noProof/>
          <w:color w:val="1F497D" w:themeColor="text2"/>
          <w:sz w:val="22"/>
          <w:szCs w:val="22"/>
        </w:rPr>
      </w:pPr>
      <w:r>
        <w:rPr>
          <w:noProof/>
        </w:rPr>
        <w:drawing>
          <wp:inline distT="0" distB="0" distL="0" distR="0" wp14:anchorId="32F5A50D" wp14:editId="4E47E17D">
            <wp:extent cx="6377651" cy="2433955"/>
            <wp:effectExtent l="0" t="0" r="0" b="0"/>
            <wp:docPr id="1578741192" name="Grafico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A00B2">
        <w:rPr>
          <w:rFonts w:ascii="Arial Narrow" w:hAnsi="Arial Narrow" w:cs="Arial"/>
          <w:iCs/>
          <w:noProof/>
          <w:color w:val="1F497D" w:themeColor="text2"/>
          <w:sz w:val="22"/>
          <w:szCs w:val="22"/>
        </w:rPr>
        <w:br w:type="page"/>
      </w:r>
    </w:p>
    <w:p w14:paraId="49EB71BD" w14:textId="7A5A6CED" w:rsidR="008A0F0A" w:rsidRPr="00DC05CF" w:rsidRDefault="008A0F0A" w:rsidP="00DC05CF">
      <w:pPr>
        <w:autoSpaceDE w:val="0"/>
        <w:autoSpaceDN w:val="0"/>
        <w:adjustRightInd w:val="0"/>
        <w:spacing w:after="120"/>
        <w:rPr>
          <w:rFonts w:ascii="Arial" w:hAnsi="Arial" w:cs="Arial"/>
          <w:iCs/>
          <w:noProof/>
          <w:color w:val="1F497D" w:themeColor="text2"/>
          <w:sz w:val="22"/>
          <w:szCs w:val="22"/>
        </w:rPr>
      </w:pPr>
    </w:p>
    <w:p w14:paraId="0DB1D31E" w14:textId="056976D2" w:rsidR="00946F1D" w:rsidRDefault="00620C75" w:rsidP="00DC05CF">
      <w:pPr>
        <w:autoSpaceDE w:val="0"/>
        <w:autoSpaceDN w:val="0"/>
        <w:adjustRightInd w:val="0"/>
        <w:spacing w:after="120"/>
        <w:rPr>
          <w:rFonts w:ascii="Arial" w:hAnsi="Arial" w:cs="Arial"/>
          <w:b/>
          <w:iCs/>
          <w:color w:val="1F497D" w:themeColor="text2"/>
          <w:sz w:val="26"/>
          <w:szCs w:val="26"/>
        </w:rPr>
      </w:pPr>
      <w:r>
        <w:rPr>
          <w:rFonts w:ascii="Arial" w:hAnsi="Arial" w:cs="Arial"/>
          <w:b/>
          <w:iCs/>
          <w:color w:val="1F497D" w:themeColor="text2"/>
          <w:sz w:val="26"/>
          <w:szCs w:val="26"/>
        </w:rPr>
        <w:t>Un terzo degli espatriati dal Nord è nato all’estero</w:t>
      </w:r>
    </w:p>
    <w:p w14:paraId="3F60FDFA" w14:textId="0FFF6094" w:rsidR="00513B2B" w:rsidRDefault="00FE1953">
      <w:pPr>
        <w:tabs>
          <w:tab w:val="num" w:pos="720"/>
        </w:tabs>
        <w:spacing w:after="120"/>
        <w:jc w:val="both"/>
        <w:rPr>
          <w:rFonts w:ascii="Arial" w:hAnsi="Arial" w:cs="Arial"/>
          <w:iCs/>
          <w:sz w:val="22"/>
          <w:szCs w:val="22"/>
        </w:rPr>
      </w:pPr>
      <w:bookmarkStart w:id="4" w:name="_Hlk26033043"/>
      <w:r w:rsidRPr="00FE1953">
        <w:rPr>
          <w:rFonts w:ascii="Arial" w:hAnsi="Arial" w:cs="Arial"/>
          <w:iCs/>
          <w:sz w:val="22"/>
          <w:szCs w:val="22"/>
        </w:rPr>
        <w:t>Le dinamiche migratorie con l’estero presentano complessità che richied</w:t>
      </w:r>
      <w:r>
        <w:rPr>
          <w:rFonts w:ascii="Arial" w:hAnsi="Arial" w:cs="Arial"/>
          <w:iCs/>
          <w:sz w:val="22"/>
          <w:szCs w:val="22"/>
        </w:rPr>
        <w:t>ono</w:t>
      </w:r>
      <w:r w:rsidRPr="00FE1953">
        <w:rPr>
          <w:rFonts w:ascii="Arial" w:hAnsi="Arial" w:cs="Arial"/>
          <w:iCs/>
          <w:sz w:val="22"/>
          <w:szCs w:val="22"/>
        </w:rPr>
        <w:t xml:space="preserve"> </w:t>
      </w:r>
      <w:r w:rsidR="00AF1C6F">
        <w:rPr>
          <w:rFonts w:ascii="Arial" w:hAnsi="Arial" w:cs="Arial"/>
          <w:iCs/>
          <w:sz w:val="22"/>
          <w:szCs w:val="22"/>
        </w:rPr>
        <w:t xml:space="preserve">un </w:t>
      </w:r>
      <w:r w:rsidRPr="00FE1953">
        <w:rPr>
          <w:rFonts w:ascii="Arial" w:hAnsi="Arial" w:cs="Arial"/>
          <w:iCs/>
          <w:sz w:val="22"/>
          <w:szCs w:val="22"/>
        </w:rPr>
        <w:t>esam</w:t>
      </w:r>
      <w:r w:rsidR="008A0E3C">
        <w:rPr>
          <w:rFonts w:ascii="Arial" w:hAnsi="Arial" w:cs="Arial"/>
          <w:iCs/>
          <w:sz w:val="22"/>
          <w:szCs w:val="22"/>
        </w:rPr>
        <w:t>e</w:t>
      </w:r>
      <w:r w:rsidRPr="00FE1953">
        <w:rPr>
          <w:rFonts w:ascii="Arial" w:hAnsi="Arial" w:cs="Arial"/>
          <w:iCs/>
          <w:sz w:val="22"/>
          <w:szCs w:val="22"/>
        </w:rPr>
        <w:t xml:space="preserve"> </w:t>
      </w:r>
      <w:r w:rsidR="008A0E3C">
        <w:rPr>
          <w:rFonts w:ascii="Arial" w:hAnsi="Arial" w:cs="Arial"/>
          <w:iCs/>
          <w:sz w:val="22"/>
          <w:szCs w:val="22"/>
        </w:rPr>
        <w:t>de</w:t>
      </w:r>
      <w:r w:rsidRPr="00FE1953">
        <w:rPr>
          <w:rFonts w:ascii="Arial" w:hAnsi="Arial" w:cs="Arial"/>
          <w:iCs/>
          <w:sz w:val="22"/>
          <w:szCs w:val="22"/>
        </w:rPr>
        <w:t xml:space="preserve">i fenomeni </w:t>
      </w:r>
      <w:r w:rsidR="008A0E3C">
        <w:rPr>
          <w:rFonts w:ascii="Arial" w:hAnsi="Arial" w:cs="Arial"/>
          <w:iCs/>
          <w:sz w:val="22"/>
          <w:szCs w:val="22"/>
        </w:rPr>
        <w:t>da</w:t>
      </w:r>
      <w:r w:rsidR="008A0E3C" w:rsidRPr="00FE1953">
        <w:rPr>
          <w:rFonts w:ascii="Arial" w:hAnsi="Arial" w:cs="Arial"/>
          <w:iCs/>
          <w:sz w:val="22"/>
          <w:szCs w:val="22"/>
        </w:rPr>
        <w:t xml:space="preserve"> </w:t>
      </w:r>
      <w:r w:rsidRPr="00FE1953">
        <w:rPr>
          <w:rFonts w:ascii="Arial" w:hAnsi="Arial" w:cs="Arial"/>
          <w:iCs/>
          <w:sz w:val="22"/>
          <w:szCs w:val="22"/>
        </w:rPr>
        <w:t xml:space="preserve">molteplici prospettive. Integrare l’analisi tradizionale con la dimensione territoriale del luogo di nascita </w:t>
      </w:r>
      <w:r w:rsidR="00877144">
        <w:rPr>
          <w:rFonts w:ascii="Arial" w:hAnsi="Arial" w:cs="Arial"/>
          <w:iCs/>
          <w:sz w:val="22"/>
          <w:szCs w:val="22"/>
        </w:rPr>
        <w:t>degli espatriati</w:t>
      </w:r>
      <w:r w:rsidR="00AF1C6F">
        <w:rPr>
          <w:rFonts w:ascii="Arial" w:hAnsi="Arial" w:cs="Arial"/>
          <w:iCs/>
          <w:sz w:val="22"/>
          <w:szCs w:val="22"/>
        </w:rPr>
        <w:t>, per esempio,</w:t>
      </w:r>
      <w:r w:rsidR="00877144">
        <w:rPr>
          <w:rFonts w:ascii="Arial" w:hAnsi="Arial" w:cs="Arial"/>
          <w:iCs/>
          <w:sz w:val="22"/>
          <w:szCs w:val="22"/>
        </w:rPr>
        <w:t xml:space="preserve"> </w:t>
      </w:r>
      <w:r w:rsidRPr="00FE1953">
        <w:rPr>
          <w:rFonts w:ascii="Arial" w:hAnsi="Arial" w:cs="Arial"/>
          <w:iCs/>
          <w:sz w:val="22"/>
          <w:szCs w:val="22"/>
        </w:rPr>
        <w:t>permette di evidenziare come la geografia degli espatri si modifichi rispetto alla consueta lettura basata esclusivamente sui territori di origine e destinazione dei migranti</w:t>
      </w:r>
      <w:r>
        <w:rPr>
          <w:rFonts w:ascii="Arial" w:hAnsi="Arial" w:cs="Arial"/>
          <w:iCs/>
          <w:sz w:val="22"/>
          <w:szCs w:val="22"/>
        </w:rPr>
        <w:t xml:space="preserve">. </w:t>
      </w:r>
      <w:r w:rsidR="00FF28CC">
        <w:rPr>
          <w:rFonts w:ascii="Arial" w:hAnsi="Arial" w:cs="Arial"/>
          <w:iCs/>
          <w:sz w:val="22"/>
          <w:szCs w:val="22"/>
        </w:rPr>
        <w:t xml:space="preserve">Da questo punto di vista, è importante considerare </w:t>
      </w:r>
      <w:r w:rsidR="00877144">
        <w:rPr>
          <w:rFonts w:ascii="Arial" w:hAnsi="Arial" w:cs="Arial"/>
          <w:iCs/>
          <w:sz w:val="22"/>
          <w:szCs w:val="22"/>
        </w:rPr>
        <w:t xml:space="preserve">il legame tra </w:t>
      </w:r>
      <w:r w:rsidR="00FF28CC" w:rsidRPr="00E71D6C">
        <w:rPr>
          <w:rFonts w:ascii="Arial" w:hAnsi="Arial" w:cs="Arial"/>
          <w:iCs/>
          <w:sz w:val="22"/>
          <w:szCs w:val="22"/>
        </w:rPr>
        <w:t>migrazioni interne</w:t>
      </w:r>
      <w:r w:rsidR="00FF28CC">
        <w:rPr>
          <w:rFonts w:ascii="Arial" w:hAnsi="Arial" w:cs="Arial"/>
          <w:iCs/>
          <w:sz w:val="22"/>
          <w:szCs w:val="22"/>
        </w:rPr>
        <w:t xml:space="preserve"> </w:t>
      </w:r>
      <w:r w:rsidR="00877144">
        <w:rPr>
          <w:rFonts w:ascii="Arial" w:hAnsi="Arial" w:cs="Arial"/>
          <w:iCs/>
          <w:sz w:val="22"/>
          <w:szCs w:val="22"/>
        </w:rPr>
        <w:t xml:space="preserve">ed </w:t>
      </w:r>
      <w:r w:rsidR="00FF28CC">
        <w:rPr>
          <w:rFonts w:ascii="Arial" w:hAnsi="Arial" w:cs="Arial"/>
          <w:iCs/>
          <w:sz w:val="22"/>
          <w:szCs w:val="22"/>
        </w:rPr>
        <w:t>espatri</w:t>
      </w:r>
      <w:r w:rsidR="00877144">
        <w:rPr>
          <w:rFonts w:ascii="Arial" w:hAnsi="Arial" w:cs="Arial"/>
          <w:iCs/>
          <w:sz w:val="22"/>
          <w:szCs w:val="22"/>
        </w:rPr>
        <w:t>:</w:t>
      </w:r>
      <w:r w:rsidR="00FF28CC">
        <w:rPr>
          <w:rFonts w:ascii="Arial" w:hAnsi="Arial" w:cs="Arial"/>
          <w:iCs/>
          <w:sz w:val="22"/>
          <w:szCs w:val="22"/>
        </w:rPr>
        <w:t xml:space="preserve"> i trasferimenti d</w:t>
      </w:r>
      <w:r w:rsidR="00513B2B">
        <w:rPr>
          <w:rFonts w:ascii="Arial" w:hAnsi="Arial" w:cs="Arial"/>
          <w:iCs/>
          <w:sz w:val="22"/>
          <w:szCs w:val="22"/>
        </w:rPr>
        <w:t xml:space="preserve">al </w:t>
      </w:r>
      <w:r w:rsidR="00FF28CC">
        <w:rPr>
          <w:rFonts w:ascii="Arial" w:hAnsi="Arial" w:cs="Arial"/>
          <w:iCs/>
          <w:sz w:val="22"/>
          <w:szCs w:val="22"/>
        </w:rPr>
        <w:t>Mezzogiorno verso</w:t>
      </w:r>
      <w:r w:rsidR="00FF28CC" w:rsidRPr="00E71D6C">
        <w:rPr>
          <w:rFonts w:ascii="Arial" w:hAnsi="Arial" w:cs="Arial"/>
          <w:iCs/>
          <w:sz w:val="22"/>
          <w:szCs w:val="22"/>
        </w:rPr>
        <w:t xml:space="preserve"> il Nord </w:t>
      </w:r>
      <w:r w:rsidR="00FF28CC">
        <w:rPr>
          <w:rFonts w:ascii="Arial" w:hAnsi="Arial" w:cs="Arial"/>
          <w:iCs/>
          <w:sz w:val="22"/>
          <w:szCs w:val="22"/>
        </w:rPr>
        <w:t>possono</w:t>
      </w:r>
      <w:r w:rsidR="00AF1C6F">
        <w:rPr>
          <w:rFonts w:ascii="Arial" w:hAnsi="Arial" w:cs="Arial"/>
          <w:iCs/>
          <w:sz w:val="22"/>
          <w:szCs w:val="22"/>
        </w:rPr>
        <w:t>,</w:t>
      </w:r>
      <w:r w:rsidR="00FF28CC">
        <w:rPr>
          <w:rFonts w:ascii="Arial" w:hAnsi="Arial" w:cs="Arial"/>
          <w:iCs/>
          <w:sz w:val="22"/>
          <w:szCs w:val="22"/>
        </w:rPr>
        <w:t xml:space="preserve"> </w:t>
      </w:r>
      <w:r w:rsidR="00877144">
        <w:rPr>
          <w:rFonts w:ascii="Arial" w:hAnsi="Arial" w:cs="Arial"/>
          <w:iCs/>
          <w:sz w:val="22"/>
          <w:szCs w:val="22"/>
        </w:rPr>
        <w:t>infatti</w:t>
      </w:r>
      <w:r w:rsidR="00AF1C6F">
        <w:rPr>
          <w:rFonts w:ascii="Arial" w:hAnsi="Arial" w:cs="Arial"/>
          <w:iCs/>
          <w:sz w:val="22"/>
          <w:szCs w:val="22"/>
        </w:rPr>
        <w:t>,</w:t>
      </w:r>
      <w:r w:rsidR="00877144">
        <w:rPr>
          <w:rFonts w:ascii="Arial" w:hAnsi="Arial" w:cs="Arial"/>
          <w:iCs/>
          <w:sz w:val="22"/>
          <w:szCs w:val="22"/>
        </w:rPr>
        <w:t xml:space="preserve"> </w:t>
      </w:r>
      <w:r w:rsidR="00FF28CC" w:rsidRPr="00E71D6C">
        <w:rPr>
          <w:rFonts w:ascii="Arial" w:hAnsi="Arial" w:cs="Arial"/>
          <w:iCs/>
          <w:sz w:val="22"/>
          <w:szCs w:val="22"/>
        </w:rPr>
        <w:t>preced</w:t>
      </w:r>
      <w:r w:rsidR="00FF28CC">
        <w:rPr>
          <w:rFonts w:ascii="Arial" w:hAnsi="Arial" w:cs="Arial"/>
          <w:iCs/>
          <w:sz w:val="22"/>
          <w:szCs w:val="22"/>
        </w:rPr>
        <w:t>ere le emigrazioni verso l’estero</w:t>
      </w:r>
      <w:r w:rsidR="00AF1C6F">
        <w:rPr>
          <w:rFonts w:ascii="Arial" w:hAnsi="Arial" w:cs="Arial"/>
          <w:iCs/>
          <w:sz w:val="22"/>
          <w:szCs w:val="22"/>
        </w:rPr>
        <w:t>. L</w:t>
      </w:r>
      <w:r w:rsidR="00FF28CC">
        <w:rPr>
          <w:rFonts w:ascii="Arial" w:hAnsi="Arial" w:cs="Arial"/>
          <w:iCs/>
          <w:sz w:val="22"/>
          <w:szCs w:val="22"/>
        </w:rPr>
        <w:t>e regioni settentrionali possono</w:t>
      </w:r>
      <w:r w:rsidR="00AF1C6F">
        <w:rPr>
          <w:rFonts w:ascii="Arial" w:hAnsi="Arial" w:cs="Arial"/>
          <w:iCs/>
          <w:sz w:val="22"/>
          <w:szCs w:val="22"/>
        </w:rPr>
        <w:t>,</w:t>
      </w:r>
      <w:r w:rsidR="00FF28CC">
        <w:rPr>
          <w:rFonts w:ascii="Arial" w:hAnsi="Arial" w:cs="Arial"/>
          <w:iCs/>
          <w:sz w:val="22"/>
          <w:szCs w:val="22"/>
        </w:rPr>
        <w:t xml:space="preserve"> </w:t>
      </w:r>
      <w:r w:rsidR="00877144">
        <w:rPr>
          <w:rFonts w:ascii="Arial" w:hAnsi="Arial" w:cs="Arial"/>
          <w:iCs/>
          <w:sz w:val="22"/>
          <w:szCs w:val="22"/>
        </w:rPr>
        <w:t>quindi</w:t>
      </w:r>
      <w:r w:rsidR="00AF1C6F">
        <w:rPr>
          <w:rFonts w:ascii="Arial" w:hAnsi="Arial" w:cs="Arial"/>
          <w:iCs/>
          <w:sz w:val="22"/>
          <w:szCs w:val="22"/>
        </w:rPr>
        <w:t>,</w:t>
      </w:r>
      <w:r w:rsidR="00877144">
        <w:rPr>
          <w:rFonts w:ascii="Arial" w:hAnsi="Arial" w:cs="Arial"/>
          <w:iCs/>
          <w:sz w:val="22"/>
          <w:szCs w:val="22"/>
        </w:rPr>
        <w:t xml:space="preserve"> </w:t>
      </w:r>
      <w:r w:rsidR="00FF28CC">
        <w:rPr>
          <w:rFonts w:ascii="Arial" w:hAnsi="Arial" w:cs="Arial"/>
          <w:iCs/>
          <w:sz w:val="22"/>
          <w:szCs w:val="22"/>
        </w:rPr>
        <w:t>rappresentare una t</w:t>
      </w:r>
      <w:r w:rsidR="00FF28CC" w:rsidRPr="000E1C93">
        <w:rPr>
          <w:rFonts w:ascii="Arial" w:hAnsi="Arial" w:cs="Arial"/>
          <w:iCs/>
          <w:sz w:val="22"/>
          <w:szCs w:val="22"/>
        </w:rPr>
        <w:t>appa intermedia</w:t>
      </w:r>
      <w:r w:rsidR="00FF28CC" w:rsidRPr="00A8762F">
        <w:rPr>
          <w:rFonts w:ascii="Arial" w:hAnsi="Arial" w:cs="Arial"/>
          <w:iCs/>
          <w:sz w:val="22"/>
          <w:szCs w:val="22"/>
        </w:rPr>
        <w:t xml:space="preserve"> del processo migratorio</w:t>
      </w:r>
      <w:r w:rsidR="00877144">
        <w:rPr>
          <w:rFonts w:ascii="Arial" w:hAnsi="Arial" w:cs="Arial"/>
          <w:iCs/>
          <w:sz w:val="22"/>
          <w:szCs w:val="22"/>
        </w:rPr>
        <w:t xml:space="preserve"> e </w:t>
      </w:r>
      <w:r w:rsidR="00AF1C6F">
        <w:rPr>
          <w:rFonts w:ascii="Arial" w:hAnsi="Arial" w:cs="Arial"/>
          <w:iCs/>
          <w:sz w:val="22"/>
          <w:szCs w:val="22"/>
        </w:rPr>
        <w:t xml:space="preserve">una </w:t>
      </w:r>
      <w:r w:rsidR="00877144">
        <w:rPr>
          <w:rFonts w:ascii="Arial" w:hAnsi="Arial" w:cs="Arial"/>
          <w:iCs/>
          <w:sz w:val="22"/>
          <w:szCs w:val="22"/>
        </w:rPr>
        <w:t>migrazion</w:t>
      </w:r>
      <w:r w:rsidR="00AF1C6F">
        <w:rPr>
          <w:rFonts w:ascii="Arial" w:hAnsi="Arial" w:cs="Arial"/>
          <w:iCs/>
          <w:sz w:val="22"/>
          <w:szCs w:val="22"/>
        </w:rPr>
        <w:t>e</w:t>
      </w:r>
      <w:r w:rsidR="00877144">
        <w:rPr>
          <w:rFonts w:ascii="Arial" w:hAnsi="Arial" w:cs="Arial"/>
          <w:iCs/>
          <w:sz w:val="22"/>
          <w:szCs w:val="22"/>
        </w:rPr>
        <w:t xml:space="preserve"> intern</w:t>
      </w:r>
      <w:r w:rsidR="00AF1C6F">
        <w:rPr>
          <w:rFonts w:ascii="Arial" w:hAnsi="Arial" w:cs="Arial"/>
          <w:iCs/>
          <w:sz w:val="22"/>
          <w:szCs w:val="22"/>
        </w:rPr>
        <w:t>a</w:t>
      </w:r>
      <w:r w:rsidR="00877144">
        <w:rPr>
          <w:rFonts w:ascii="Arial" w:hAnsi="Arial" w:cs="Arial"/>
          <w:iCs/>
          <w:sz w:val="22"/>
          <w:szCs w:val="22"/>
        </w:rPr>
        <w:t xml:space="preserve"> </w:t>
      </w:r>
      <w:r w:rsidR="00AF1C6F">
        <w:rPr>
          <w:rFonts w:ascii="Arial" w:hAnsi="Arial" w:cs="Arial"/>
          <w:iCs/>
          <w:sz w:val="22"/>
          <w:szCs w:val="22"/>
        </w:rPr>
        <w:t xml:space="preserve">al territorio nazionale può </w:t>
      </w:r>
      <w:r w:rsidR="00877144">
        <w:rPr>
          <w:rFonts w:ascii="Arial" w:hAnsi="Arial" w:cs="Arial"/>
          <w:iCs/>
          <w:sz w:val="22"/>
          <w:szCs w:val="22"/>
        </w:rPr>
        <w:t xml:space="preserve">trasformarsi </w:t>
      </w:r>
      <w:r w:rsidR="00AF1C6F">
        <w:rPr>
          <w:rFonts w:ascii="Arial" w:hAnsi="Arial" w:cs="Arial"/>
          <w:iCs/>
          <w:sz w:val="22"/>
          <w:szCs w:val="22"/>
        </w:rPr>
        <w:t xml:space="preserve">di fatto </w:t>
      </w:r>
      <w:r w:rsidR="00877144">
        <w:rPr>
          <w:rFonts w:ascii="Arial" w:hAnsi="Arial" w:cs="Arial"/>
          <w:iCs/>
          <w:sz w:val="22"/>
          <w:szCs w:val="22"/>
        </w:rPr>
        <w:t>in migrazion</w:t>
      </w:r>
      <w:r w:rsidR="00AF1C6F">
        <w:rPr>
          <w:rFonts w:ascii="Arial" w:hAnsi="Arial" w:cs="Arial"/>
          <w:iCs/>
          <w:sz w:val="22"/>
          <w:szCs w:val="22"/>
        </w:rPr>
        <w:t>e</w:t>
      </w:r>
      <w:r w:rsidR="00877144">
        <w:rPr>
          <w:rFonts w:ascii="Arial" w:hAnsi="Arial" w:cs="Arial"/>
          <w:iCs/>
          <w:sz w:val="22"/>
          <w:szCs w:val="22"/>
        </w:rPr>
        <w:t xml:space="preserve"> internazional</w:t>
      </w:r>
      <w:r w:rsidR="00AF1C6F">
        <w:rPr>
          <w:rFonts w:ascii="Arial" w:hAnsi="Arial" w:cs="Arial"/>
          <w:iCs/>
          <w:sz w:val="22"/>
          <w:szCs w:val="22"/>
        </w:rPr>
        <w:t>e</w:t>
      </w:r>
      <w:r w:rsidR="00FF28CC" w:rsidRPr="00A8762F">
        <w:rPr>
          <w:rFonts w:ascii="Arial" w:hAnsi="Arial" w:cs="Arial"/>
          <w:iCs/>
          <w:sz w:val="22"/>
          <w:szCs w:val="22"/>
        </w:rPr>
        <w:t>.</w:t>
      </w:r>
      <w:r w:rsidR="00FF28CC">
        <w:rPr>
          <w:rFonts w:ascii="Arial" w:hAnsi="Arial" w:cs="Arial"/>
          <w:iCs/>
          <w:sz w:val="22"/>
          <w:szCs w:val="22"/>
        </w:rPr>
        <w:t xml:space="preserve"> </w:t>
      </w:r>
    </w:p>
    <w:p w14:paraId="4D117471" w14:textId="36DAE0EA" w:rsidR="00F81604" w:rsidRDefault="002D4A17">
      <w:pPr>
        <w:tabs>
          <w:tab w:val="num" w:pos="720"/>
        </w:tabs>
        <w:spacing w:after="120"/>
        <w:jc w:val="both"/>
        <w:rPr>
          <w:rFonts w:ascii="Arial" w:hAnsi="Arial" w:cs="Arial"/>
          <w:iCs/>
          <w:sz w:val="22"/>
          <w:szCs w:val="22"/>
        </w:rPr>
      </w:pPr>
      <w:r w:rsidRPr="00513B2B">
        <w:rPr>
          <w:rFonts w:ascii="Arial" w:hAnsi="Arial" w:cs="Arial"/>
          <w:iCs/>
          <w:sz w:val="22"/>
          <w:szCs w:val="22"/>
        </w:rPr>
        <w:t xml:space="preserve">Dal 2014 al 2024 </w:t>
      </w:r>
      <w:r w:rsidR="00492AFE" w:rsidRPr="00513B2B">
        <w:rPr>
          <w:rFonts w:ascii="Arial" w:hAnsi="Arial" w:cs="Arial"/>
          <w:iCs/>
          <w:sz w:val="22"/>
          <w:szCs w:val="22"/>
        </w:rPr>
        <w:t xml:space="preserve">il </w:t>
      </w:r>
      <w:r w:rsidR="00F81604" w:rsidRPr="00513B2B">
        <w:rPr>
          <w:rFonts w:ascii="Arial" w:hAnsi="Arial" w:cs="Arial"/>
          <w:iCs/>
          <w:sz w:val="22"/>
          <w:szCs w:val="22"/>
        </w:rPr>
        <w:t>61,9</w:t>
      </w:r>
      <w:r w:rsidR="00492AFE" w:rsidRPr="00513B2B">
        <w:rPr>
          <w:rFonts w:ascii="Arial" w:hAnsi="Arial" w:cs="Arial"/>
          <w:iCs/>
          <w:sz w:val="22"/>
          <w:szCs w:val="22"/>
        </w:rPr>
        <w:t>% degli espatri</w:t>
      </w:r>
      <w:r w:rsidR="00877144">
        <w:rPr>
          <w:rFonts w:ascii="Arial" w:hAnsi="Arial" w:cs="Arial"/>
          <w:iCs/>
          <w:sz w:val="22"/>
          <w:szCs w:val="22"/>
        </w:rPr>
        <w:t>ati</w:t>
      </w:r>
      <w:r w:rsidR="00492AFE" w:rsidRPr="00513B2B">
        <w:rPr>
          <w:rFonts w:ascii="Arial" w:hAnsi="Arial" w:cs="Arial"/>
          <w:iCs/>
          <w:sz w:val="22"/>
          <w:szCs w:val="22"/>
        </w:rPr>
        <w:t xml:space="preserve"> </w:t>
      </w:r>
      <w:r w:rsidRPr="00513B2B">
        <w:rPr>
          <w:rFonts w:ascii="Arial" w:hAnsi="Arial" w:cs="Arial"/>
          <w:iCs/>
          <w:sz w:val="22"/>
          <w:szCs w:val="22"/>
        </w:rPr>
        <w:t xml:space="preserve">dal Nord </w:t>
      </w:r>
      <w:r w:rsidR="00492AFE" w:rsidRPr="00513B2B">
        <w:rPr>
          <w:rFonts w:ascii="Arial" w:hAnsi="Arial" w:cs="Arial"/>
          <w:iCs/>
          <w:sz w:val="22"/>
          <w:szCs w:val="22"/>
        </w:rPr>
        <w:t>è costituito da nativi</w:t>
      </w:r>
      <w:r w:rsidR="00F81604" w:rsidRPr="00513B2B">
        <w:rPr>
          <w:rFonts w:ascii="Arial" w:hAnsi="Arial" w:cs="Arial"/>
          <w:iCs/>
          <w:sz w:val="22"/>
          <w:szCs w:val="22"/>
        </w:rPr>
        <w:t xml:space="preserve"> </w:t>
      </w:r>
      <w:r w:rsidR="00513B2B" w:rsidRPr="00513B2B">
        <w:rPr>
          <w:rFonts w:ascii="Arial" w:hAnsi="Arial" w:cs="Arial"/>
          <w:iCs/>
          <w:sz w:val="22"/>
          <w:szCs w:val="22"/>
        </w:rPr>
        <w:t>nell’area</w:t>
      </w:r>
      <w:r w:rsidR="00F81604" w:rsidRPr="00513B2B">
        <w:rPr>
          <w:rFonts w:ascii="Arial" w:hAnsi="Arial" w:cs="Arial"/>
          <w:iCs/>
          <w:sz w:val="22"/>
          <w:szCs w:val="22"/>
        </w:rPr>
        <w:t>, il 6</w:t>
      </w:r>
      <w:r w:rsidR="00E74F78">
        <w:rPr>
          <w:rFonts w:ascii="Arial" w:hAnsi="Arial" w:cs="Arial"/>
          <w:iCs/>
          <w:sz w:val="22"/>
          <w:szCs w:val="22"/>
        </w:rPr>
        <w:t>,1</w:t>
      </w:r>
      <w:r w:rsidR="00F81604" w:rsidRPr="00513B2B">
        <w:rPr>
          <w:rFonts w:ascii="Arial" w:hAnsi="Arial" w:cs="Arial"/>
          <w:iCs/>
          <w:sz w:val="22"/>
          <w:szCs w:val="22"/>
        </w:rPr>
        <w:t xml:space="preserve">% da nativi nel Mezzogiorno e l’1,8% </w:t>
      </w:r>
      <w:r w:rsidR="00AF1C6F">
        <w:rPr>
          <w:rFonts w:ascii="Arial" w:hAnsi="Arial" w:cs="Arial"/>
          <w:iCs/>
          <w:sz w:val="22"/>
          <w:szCs w:val="22"/>
        </w:rPr>
        <w:t>d</w:t>
      </w:r>
      <w:r w:rsidR="00F81604" w:rsidRPr="00513B2B">
        <w:rPr>
          <w:rFonts w:ascii="Arial" w:hAnsi="Arial" w:cs="Arial"/>
          <w:iCs/>
          <w:sz w:val="22"/>
          <w:szCs w:val="22"/>
        </w:rPr>
        <w:t xml:space="preserve">el Centro. </w:t>
      </w:r>
      <w:r w:rsidR="00A8762F" w:rsidRPr="00513B2B">
        <w:rPr>
          <w:rFonts w:ascii="Arial" w:hAnsi="Arial" w:cs="Arial"/>
          <w:iCs/>
          <w:sz w:val="22"/>
          <w:szCs w:val="22"/>
        </w:rPr>
        <w:t>Nel Sud e nelle Isole</w:t>
      </w:r>
      <w:r w:rsidR="00AF1C6F">
        <w:rPr>
          <w:rFonts w:ascii="Arial" w:hAnsi="Arial" w:cs="Arial"/>
          <w:iCs/>
          <w:sz w:val="22"/>
          <w:szCs w:val="22"/>
        </w:rPr>
        <w:t>,</w:t>
      </w:r>
      <w:r w:rsidR="00A8762F" w:rsidRPr="00513B2B">
        <w:rPr>
          <w:rFonts w:ascii="Arial" w:hAnsi="Arial" w:cs="Arial"/>
          <w:iCs/>
          <w:sz w:val="22"/>
          <w:szCs w:val="22"/>
        </w:rPr>
        <w:t xml:space="preserve"> invece</w:t>
      </w:r>
      <w:r w:rsidR="00AF1C6F">
        <w:rPr>
          <w:rFonts w:ascii="Arial" w:hAnsi="Arial" w:cs="Arial"/>
          <w:iCs/>
          <w:sz w:val="22"/>
          <w:szCs w:val="22"/>
        </w:rPr>
        <w:t>,</w:t>
      </w:r>
      <w:r w:rsidR="00A8762F" w:rsidRPr="00513B2B">
        <w:rPr>
          <w:rFonts w:ascii="Arial" w:hAnsi="Arial" w:cs="Arial"/>
          <w:iCs/>
          <w:sz w:val="22"/>
          <w:szCs w:val="22"/>
        </w:rPr>
        <w:t xml:space="preserve"> gli espatriati </w:t>
      </w:r>
      <w:r w:rsidR="00A8762F" w:rsidRPr="000E1C93">
        <w:rPr>
          <w:rFonts w:ascii="Arial" w:hAnsi="Arial" w:cs="Arial"/>
          <w:iCs/>
          <w:sz w:val="22"/>
          <w:szCs w:val="22"/>
        </w:rPr>
        <w:t>sono prevalentemente nati</w:t>
      </w:r>
      <w:r w:rsidR="00A8762F" w:rsidRPr="00513B2B">
        <w:rPr>
          <w:rFonts w:ascii="Arial" w:hAnsi="Arial" w:cs="Arial"/>
          <w:iCs/>
          <w:sz w:val="22"/>
          <w:szCs w:val="22"/>
        </w:rPr>
        <w:t xml:space="preserve">vi </w:t>
      </w:r>
      <w:r w:rsidR="00F81604" w:rsidRPr="00513B2B">
        <w:rPr>
          <w:rFonts w:ascii="Arial" w:hAnsi="Arial" w:cs="Arial"/>
          <w:iCs/>
          <w:sz w:val="22"/>
          <w:szCs w:val="22"/>
        </w:rPr>
        <w:t xml:space="preserve">(rispettivamente </w:t>
      </w:r>
      <w:r w:rsidR="00AF1C6F">
        <w:rPr>
          <w:rFonts w:ascii="Arial" w:hAnsi="Arial" w:cs="Arial"/>
          <w:iCs/>
          <w:sz w:val="22"/>
          <w:szCs w:val="22"/>
        </w:rPr>
        <w:t xml:space="preserve">il </w:t>
      </w:r>
      <w:r w:rsidR="00F81604" w:rsidRPr="00513B2B">
        <w:rPr>
          <w:rFonts w:ascii="Arial" w:hAnsi="Arial" w:cs="Arial"/>
          <w:iCs/>
          <w:sz w:val="22"/>
          <w:szCs w:val="22"/>
        </w:rPr>
        <w:t xml:space="preserve">68,9% e </w:t>
      </w:r>
      <w:r w:rsidR="00AF1C6F">
        <w:rPr>
          <w:rFonts w:ascii="Arial" w:hAnsi="Arial" w:cs="Arial"/>
          <w:iCs/>
          <w:sz w:val="22"/>
          <w:szCs w:val="22"/>
        </w:rPr>
        <w:t xml:space="preserve">il </w:t>
      </w:r>
      <w:r w:rsidR="00F81604" w:rsidRPr="00513B2B">
        <w:rPr>
          <w:rFonts w:ascii="Arial" w:hAnsi="Arial" w:cs="Arial"/>
          <w:iCs/>
          <w:sz w:val="22"/>
          <w:szCs w:val="22"/>
        </w:rPr>
        <w:t>74,6%)</w:t>
      </w:r>
      <w:r w:rsidR="003376A7">
        <w:rPr>
          <w:rFonts w:ascii="Arial" w:hAnsi="Arial" w:cs="Arial"/>
          <w:iCs/>
          <w:sz w:val="22"/>
          <w:szCs w:val="22"/>
        </w:rPr>
        <w:t xml:space="preserve">, a testimonianza del fatto </w:t>
      </w:r>
      <w:r w:rsidR="00492AFE" w:rsidRPr="00513B2B">
        <w:rPr>
          <w:rFonts w:ascii="Arial" w:hAnsi="Arial" w:cs="Arial"/>
          <w:iCs/>
          <w:sz w:val="22"/>
          <w:szCs w:val="22"/>
        </w:rPr>
        <w:t xml:space="preserve">che </w:t>
      </w:r>
      <w:r w:rsidR="00A8762F" w:rsidRPr="000E1C93">
        <w:rPr>
          <w:rFonts w:ascii="Arial" w:hAnsi="Arial" w:cs="Arial"/>
          <w:iCs/>
          <w:sz w:val="22"/>
          <w:szCs w:val="22"/>
        </w:rPr>
        <w:t>i trasferimenti verso l'estero avveng</w:t>
      </w:r>
      <w:r w:rsidR="00492AFE" w:rsidRPr="00513B2B">
        <w:rPr>
          <w:rFonts w:ascii="Arial" w:hAnsi="Arial" w:cs="Arial"/>
          <w:iCs/>
          <w:sz w:val="22"/>
          <w:szCs w:val="22"/>
        </w:rPr>
        <w:t>o</w:t>
      </w:r>
      <w:r w:rsidR="00A8762F" w:rsidRPr="000E1C93">
        <w:rPr>
          <w:rFonts w:ascii="Arial" w:hAnsi="Arial" w:cs="Arial"/>
          <w:iCs/>
          <w:sz w:val="22"/>
          <w:szCs w:val="22"/>
        </w:rPr>
        <w:t xml:space="preserve">no spesso </w:t>
      </w:r>
      <w:r w:rsidR="00AF1C6F">
        <w:rPr>
          <w:rFonts w:ascii="Arial" w:hAnsi="Arial" w:cs="Arial"/>
          <w:iCs/>
          <w:sz w:val="22"/>
          <w:szCs w:val="22"/>
        </w:rPr>
        <w:t xml:space="preserve">per via </w:t>
      </w:r>
      <w:r w:rsidR="00A8762F" w:rsidRPr="000E1C93">
        <w:rPr>
          <w:rFonts w:ascii="Arial" w:hAnsi="Arial" w:cs="Arial"/>
          <w:iCs/>
          <w:sz w:val="22"/>
          <w:szCs w:val="22"/>
        </w:rPr>
        <w:t xml:space="preserve">diretta senza </w:t>
      </w:r>
      <w:r w:rsidR="00AF1C6F">
        <w:rPr>
          <w:rFonts w:ascii="Arial" w:hAnsi="Arial" w:cs="Arial"/>
          <w:iCs/>
          <w:sz w:val="22"/>
          <w:szCs w:val="22"/>
        </w:rPr>
        <w:t xml:space="preserve">un </w:t>
      </w:r>
      <w:r w:rsidR="00A8762F" w:rsidRPr="000E1C93">
        <w:rPr>
          <w:rFonts w:ascii="Arial" w:hAnsi="Arial" w:cs="Arial"/>
          <w:iCs/>
          <w:sz w:val="22"/>
          <w:szCs w:val="22"/>
        </w:rPr>
        <w:t>passa</w:t>
      </w:r>
      <w:r w:rsidR="00AF1C6F">
        <w:rPr>
          <w:rFonts w:ascii="Arial" w:hAnsi="Arial" w:cs="Arial"/>
          <w:iCs/>
          <w:sz w:val="22"/>
          <w:szCs w:val="22"/>
        </w:rPr>
        <w:t>ggio</w:t>
      </w:r>
      <w:r w:rsidR="00A8762F" w:rsidRPr="000E1C93">
        <w:rPr>
          <w:rFonts w:ascii="Arial" w:hAnsi="Arial" w:cs="Arial"/>
          <w:iCs/>
          <w:sz w:val="22"/>
          <w:szCs w:val="22"/>
        </w:rPr>
        <w:t xml:space="preserve"> </w:t>
      </w:r>
      <w:r w:rsidR="00AF1C6F">
        <w:rPr>
          <w:rFonts w:ascii="Arial" w:hAnsi="Arial" w:cs="Arial"/>
          <w:iCs/>
          <w:sz w:val="22"/>
          <w:szCs w:val="22"/>
        </w:rPr>
        <w:t xml:space="preserve">intermedio che coinvolga </w:t>
      </w:r>
      <w:r w:rsidR="00A8762F" w:rsidRPr="000E1C93">
        <w:rPr>
          <w:rFonts w:ascii="Arial" w:hAnsi="Arial" w:cs="Arial"/>
          <w:iCs/>
          <w:sz w:val="22"/>
          <w:szCs w:val="22"/>
        </w:rPr>
        <w:t>altre ripartizion</w:t>
      </w:r>
      <w:r w:rsidR="00A84A49">
        <w:rPr>
          <w:rFonts w:ascii="Arial" w:hAnsi="Arial" w:cs="Arial"/>
          <w:iCs/>
          <w:sz w:val="22"/>
          <w:szCs w:val="22"/>
        </w:rPr>
        <w:t>i</w:t>
      </w:r>
      <w:r w:rsidR="00B86F6C">
        <w:rPr>
          <w:rFonts w:ascii="Arial" w:hAnsi="Arial" w:cs="Arial"/>
          <w:iCs/>
          <w:sz w:val="22"/>
          <w:szCs w:val="22"/>
        </w:rPr>
        <w:t xml:space="preserve"> (Figura 5)</w:t>
      </w:r>
      <w:r w:rsidR="00A84A49">
        <w:rPr>
          <w:rFonts w:ascii="Arial" w:hAnsi="Arial" w:cs="Arial"/>
          <w:iCs/>
          <w:sz w:val="22"/>
          <w:szCs w:val="22"/>
        </w:rPr>
        <w:t>.</w:t>
      </w:r>
      <w:r w:rsidR="00F81604" w:rsidRPr="00513B2B">
        <w:rPr>
          <w:rFonts w:ascii="Arial" w:hAnsi="Arial" w:cs="Arial"/>
          <w:iCs/>
          <w:sz w:val="22"/>
          <w:szCs w:val="22"/>
        </w:rPr>
        <w:t xml:space="preserve"> </w:t>
      </w:r>
      <w:r w:rsidR="00513B2B" w:rsidRPr="00513B2B">
        <w:rPr>
          <w:rFonts w:ascii="Arial" w:hAnsi="Arial" w:cs="Arial"/>
          <w:iCs/>
          <w:sz w:val="22"/>
          <w:szCs w:val="22"/>
        </w:rPr>
        <w:t>In tutte le ripartizioni, i nati all’estero rappresentano una componente significativa degli espatriati</w:t>
      </w:r>
      <w:r w:rsidR="00513B2B">
        <w:rPr>
          <w:rFonts w:ascii="Arial" w:hAnsi="Arial" w:cs="Arial"/>
          <w:iCs/>
          <w:sz w:val="22"/>
          <w:szCs w:val="22"/>
        </w:rPr>
        <w:t>, soprattutto al Nord</w:t>
      </w:r>
      <w:r w:rsidR="000D14BF">
        <w:rPr>
          <w:rFonts w:ascii="Arial" w:hAnsi="Arial" w:cs="Arial"/>
          <w:iCs/>
          <w:sz w:val="22"/>
          <w:szCs w:val="22"/>
        </w:rPr>
        <w:t xml:space="preserve"> e al Centro,</w:t>
      </w:r>
      <w:r w:rsidR="00513B2B">
        <w:rPr>
          <w:rFonts w:ascii="Arial" w:hAnsi="Arial" w:cs="Arial"/>
          <w:iCs/>
          <w:sz w:val="22"/>
          <w:szCs w:val="22"/>
        </w:rPr>
        <w:t xml:space="preserve"> dove la quota di nati all’estero tra gli espatri</w:t>
      </w:r>
      <w:r w:rsidR="00877144">
        <w:rPr>
          <w:rFonts w:ascii="Arial" w:hAnsi="Arial" w:cs="Arial"/>
          <w:iCs/>
          <w:sz w:val="22"/>
          <w:szCs w:val="22"/>
        </w:rPr>
        <w:t>ati</w:t>
      </w:r>
      <w:r w:rsidR="00513B2B">
        <w:rPr>
          <w:rFonts w:ascii="Arial" w:hAnsi="Arial" w:cs="Arial"/>
          <w:iCs/>
          <w:sz w:val="22"/>
          <w:szCs w:val="22"/>
        </w:rPr>
        <w:t xml:space="preserve"> è pari</w:t>
      </w:r>
      <w:r w:rsidR="00AF1C6F">
        <w:rPr>
          <w:rFonts w:ascii="Arial" w:hAnsi="Arial" w:cs="Arial"/>
          <w:iCs/>
          <w:sz w:val="22"/>
          <w:szCs w:val="22"/>
        </w:rPr>
        <w:t>,</w:t>
      </w:r>
      <w:r w:rsidR="00513B2B">
        <w:rPr>
          <w:rFonts w:ascii="Arial" w:hAnsi="Arial" w:cs="Arial"/>
          <w:iCs/>
          <w:sz w:val="22"/>
          <w:szCs w:val="22"/>
        </w:rPr>
        <w:t xml:space="preserve"> </w:t>
      </w:r>
      <w:r w:rsidR="000D14BF">
        <w:rPr>
          <w:rFonts w:ascii="Arial" w:hAnsi="Arial" w:cs="Arial"/>
          <w:iCs/>
          <w:sz w:val="22"/>
          <w:szCs w:val="22"/>
        </w:rPr>
        <w:t>rispettivamente</w:t>
      </w:r>
      <w:r w:rsidR="00AF1C6F">
        <w:rPr>
          <w:rFonts w:ascii="Arial" w:hAnsi="Arial" w:cs="Arial"/>
          <w:iCs/>
          <w:sz w:val="22"/>
          <w:szCs w:val="22"/>
        </w:rPr>
        <w:t>,</w:t>
      </w:r>
      <w:r w:rsidR="000D14BF">
        <w:rPr>
          <w:rFonts w:ascii="Arial" w:hAnsi="Arial" w:cs="Arial"/>
          <w:iCs/>
          <w:sz w:val="22"/>
          <w:szCs w:val="22"/>
        </w:rPr>
        <w:t xml:space="preserve"> </w:t>
      </w:r>
      <w:r w:rsidR="00513B2B">
        <w:rPr>
          <w:rFonts w:ascii="Arial" w:hAnsi="Arial" w:cs="Arial"/>
          <w:iCs/>
          <w:sz w:val="22"/>
          <w:szCs w:val="22"/>
        </w:rPr>
        <w:t xml:space="preserve">al </w:t>
      </w:r>
      <w:r w:rsidR="00513B2B" w:rsidRPr="00513B2B">
        <w:rPr>
          <w:rFonts w:ascii="Arial" w:hAnsi="Arial" w:cs="Arial"/>
          <w:iCs/>
          <w:sz w:val="22"/>
          <w:szCs w:val="22"/>
        </w:rPr>
        <w:t>30,</w:t>
      </w:r>
      <w:r w:rsidR="00A84A49">
        <w:rPr>
          <w:rFonts w:ascii="Arial" w:hAnsi="Arial" w:cs="Arial"/>
          <w:iCs/>
          <w:sz w:val="22"/>
          <w:szCs w:val="22"/>
        </w:rPr>
        <w:t>3</w:t>
      </w:r>
      <w:r w:rsidR="00513B2B" w:rsidRPr="00513B2B">
        <w:rPr>
          <w:rFonts w:ascii="Arial" w:hAnsi="Arial" w:cs="Arial"/>
          <w:iCs/>
          <w:sz w:val="22"/>
          <w:szCs w:val="22"/>
        </w:rPr>
        <w:t>%</w:t>
      </w:r>
      <w:r w:rsidR="00513B2B">
        <w:rPr>
          <w:rFonts w:ascii="Arial" w:hAnsi="Arial" w:cs="Arial"/>
          <w:iCs/>
          <w:sz w:val="22"/>
          <w:szCs w:val="22"/>
        </w:rPr>
        <w:t xml:space="preserve"> </w:t>
      </w:r>
      <w:r w:rsidR="000D14BF">
        <w:rPr>
          <w:rFonts w:ascii="Arial" w:hAnsi="Arial" w:cs="Arial"/>
          <w:iCs/>
          <w:sz w:val="22"/>
          <w:szCs w:val="22"/>
        </w:rPr>
        <w:t xml:space="preserve">e al 29,6%, mentre è </w:t>
      </w:r>
      <w:r w:rsidR="00513B2B" w:rsidRPr="00513B2B">
        <w:rPr>
          <w:rFonts w:ascii="Arial" w:hAnsi="Arial" w:cs="Arial"/>
          <w:iCs/>
          <w:sz w:val="22"/>
          <w:szCs w:val="22"/>
        </w:rPr>
        <w:t xml:space="preserve">più contenuta nel Mezzogiorno </w:t>
      </w:r>
      <w:r w:rsidR="000D14BF">
        <w:rPr>
          <w:rFonts w:ascii="Arial" w:hAnsi="Arial" w:cs="Arial"/>
          <w:iCs/>
          <w:sz w:val="22"/>
          <w:szCs w:val="22"/>
        </w:rPr>
        <w:t>(</w:t>
      </w:r>
      <w:r w:rsidR="00513B2B" w:rsidRPr="00513B2B">
        <w:rPr>
          <w:rFonts w:ascii="Arial" w:hAnsi="Arial" w:cs="Arial"/>
          <w:iCs/>
          <w:sz w:val="22"/>
          <w:szCs w:val="22"/>
        </w:rPr>
        <w:t>23,4%).</w:t>
      </w:r>
    </w:p>
    <w:bookmarkEnd w:id="4"/>
    <w:p w14:paraId="30DF4036" w14:textId="0622511A" w:rsidR="00A84A49" w:rsidRDefault="000D14BF">
      <w:pPr>
        <w:spacing w:after="120"/>
        <w:jc w:val="both"/>
        <w:rPr>
          <w:rFonts w:ascii="Arial" w:hAnsi="Arial" w:cs="Arial"/>
          <w:iCs/>
          <w:sz w:val="22"/>
          <w:szCs w:val="22"/>
        </w:rPr>
      </w:pPr>
      <w:r>
        <w:rPr>
          <w:rFonts w:ascii="Arial" w:hAnsi="Arial" w:cs="Arial"/>
          <w:iCs/>
          <w:sz w:val="22"/>
          <w:szCs w:val="22"/>
        </w:rPr>
        <w:t xml:space="preserve">È </w:t>
      </w:r>
      <w:r w:rsidR="00AF1C6F">
        <w:rPr>
          <w:rFonts w:ascii="Arial" w:hAnsi="Arial" w:cs="Arial"/>
          <w:iCs/>
          <w:sz w:val="22"/>
          <w:szCs w:val="22"/>
        </w:rPr>
        <w:t xml:space="preserve">più che </w:t>
      </w:r>
      <w:r>
        <w:rPr>
          <w:rFonts w:ascii="Arial" w:hAnsi="Arial" w:cs="Arial"/>
          <w:iCs/>
          <w:sz w:val="22"/>
          <w:szCs w:val="22"/>
        </w:rPr>
        <w:t xml:space="preserve">plausibile </w:t>
      </w:r>
      <w:r w:rsidR="00AF1C6F">
        <w:rPr>
          <w:rFonts w:ascii="Arial" w:hAnsi="Arial" w:cs="Arial"/>
          <w:iCs/>
          <w:sz w:val="22"/>
          <w:szCs w:val="22"/>
        </w:rPr>
        <w:t>ipotizzare</w:t>
      </w:r>
      <w:r>
        <w:rPr>
          <w:rFonts w:ascii="Arial" w:hAnsi="Arial" w:cs="Arial"/>
          <w:iCs/>
          <w:sz w:val="22"/>
          <w:szCs w:val="22"/>
        </w:rPr>
        <w:t xml:space="preserve"> </w:t>
      </w:r>
      <w:r w:rsidR="000C6FC4">
        <w:rPr>
          <w:rFonts w:ascii="Arial" w:hAnsi="Arial" w:cs="Arial"/>
          <w:iCs/>
          <w:sz w:val="22"/>
          <w:szCs w:val="22"/>
        </w:rPr>
        <w:t xml:space="preserve">che </w:t>
      </w:r>
      <w:r w:rsidR="000C6FC4" w:rsidRPr="00FC473E">
        <w:rPr>
          <w:rFonts w:ascii="Arial" w:hAnsi="Arial" w:cs="Arial"/>
          <w:iCs/>
          <w:sz w:val="22"/>
          <w:szCs w:val="22"/>
        </w:rPr>
        <w:t>il</w:t>
      </w:r>
      <w:r w:rsidR="00AF1C6F">
        <w:rPr>
          <w:rFonts w:ascii="Arial" w:hAnsi="Arial" w:cs="Arial"/>
          <w:iCs/>
          <w:sz w:val="22"/>
          <w:szCs w:val="22"/>
        </w:rPr>
        <w:t xml:space="preserve"> </w:t>
      </w:r>
      <w:r w:rsidR="00AA57BB" w:rsidRPr="00FC473E">
        <w:rPr>
          <w:rFonts w:ascii="Arial" w:hAnsi="Arial" w:cs="Arial"/>
          <w:iCs/>
          <w:sz w:val="22"/>
          <w:szCs w:val="22"/>
        </w:rPr>
        <w:t>flusso</w:t>
      </w:r>
      <w:r w:rsidR="00AA57BB" w:rsidRPr="00AA57BB">
        <w:rPr>
          <w:rFonts w:ascii="Arial" w:hAnsi="Arial" w:cs="Arial"/>
          <w:iCs/>
          <w:sz w:val="22"/>
          <w:szCs w:val="22"/>
        </w:rPr>
        <w:t xml:space="preserve"> </w:t>
      </w:r>
      <w:r w:rsidR="00AF1C6F">
        <w:rPr>
          <w:rFonts w:ascii="Arial" w:hAnsi="Arial" w:cs="Arial"/>
          <w:iCs/>
          <w:sz w:val="22"/>
          <w:szCs w:val="22"/>
        </w:rPr>
        <w:t xml:space="preserve">degli espatri </w:t>
      </w:r>
      <w:r w:rsidR="00246E06">
        <w:rPr>
          <w:rFonts w:ascii="Arial" w:hAnsi="Arial" w:cs="Arial"/>
          <w:iCs/>
          <w:sz w:val="22"/>
          <w:szCs w:val="22"/>
        </w:rPr>
        <w:t>comprend</w:t>
      </w:r>
      <w:r>
        <w:rPr>
          <w:rFonts w:ascii="Arial" w:hAnsi="Arial" w:cs="Arial"/>
          <w:iCs/>
          <w:sz w:val="22"/>
          <w:szCs w:val="22"/>
        </w:rPr>
        <w:t>a</w:t>
      </w:r>
      <w:r w:rsidR="00246E06">
        <w:rPr>
          <w:rFonts w:ascii="Arial" w:hAnsi="Arial" w:cs="Arial"/>
          <w:iCs/>
          <w:sz w:val="22"/>
          <w:szCs w:val="22"/>
        </w:rPr>
        <w:t xml:space="preserve"> </w:t>
      </w:r>
      <w:r w:rsidR="00AF1C6F">
        <w:rPr>
          <w:rFonts w:ascii="Arial" w:hAnsi="Arial" w:cs="Arial"/>
          <w:iCs/>
          <w:sz w:val="22"/>
          <w:szCs w:val="22"/>
        </w:rPr>
        <w:t>in realtà una significativa componente di ex-</w:t>
      </w:r>
      <w:r w:rsidR="00C25EE8" w:rsidRPr="00AA57BB">
        <w:rPr>
          <w:rFonts w:ascii="Arial" w:hAnsi="Arial" w:cs="Arial"/>
          <w:iCs/>
          <w:sz w:val="22"/>
          <w:szCs w:val="22"/>
        </w:rPr>
        <w:t>immigrati</w:t>
      </w:r>
      <w:r w:rsidR="00AA57BB" w:rsidRPr="00AA57BB">
        <w:rPr>
          <w:rFonts w:ascii="Arial" w:hAnsi="Arial" w:cs="Arial"/>
          <w:iCs/>
          <w:sz w:val="22"/>
          <w:szCs w:val="22"/>
        </w:rPr>
        <w:t xml:space="preserve"> stranieri che, </w:t>
      </w:r>
      <w:r w:rsidR="00246E06">
        <w:rPr>
          <w:rFonts w:ascii="Arial" w:hAnsi="Arial" w:cs="Arial"/>
          <w:iCs/>
          <w:sz w:val="22"/>
          <w:szCs w:val="22"/>
        </w:rPr>
        <w:t xml:space="preserve">una volta </w:t>
      </w:r>
      <w:r w:rsidR="00AA57BB" w:rsidRPr="00AA57BB">
        <w:rPr>
          <w:rFonts w:ascii="Arial" w:hAnsi="Arial" w:cs="Arial"/>
          <w:iCs/>
          <w:sz w:val="22"/>
          <w:szCs w:val="22"/>
        </w:rPr>
        <w:t xml:space="preserve">acquisita la cittadinanza italiana, lasciano il Paese come cittadini dell’Unione </w:t>
      </w:r>
      <w:r w:rsidR="00D72F77">
        <w:rPr>
          <w:rFonts w:ascii="Arial" w:hAnsi="Arial" w:cs="Arial"/>
          <w:iCs/>
          <w:sz w:val="22"/>
          <w:szCs w:val="22"/>
        </w:rPr>
        <w:t>e</w:t>
      </w:r>
      <w:r w:rsidR="00AA57BB" w:rsidRPr="00AA57BB">
        <w:rPr>
          <w:rFonts w:ascii="Arial" w:hAnsi="Arial" w:cs="Arial"/>
          <w:iCs/>
          <w:sz w:val="22"/>
          <w:szCs w:val="22"/>
        </w:rPr>
        <w:t xml:space="preserve">uropea. </w:t>
      </w:r>
      <w:r w:rsidR="00C97F1E">
        <w:rPr>
          <w:rFonts w:ascii="Arial" w:hAnsi="Arial" w:cs="Arial"/>
          <w:iCs/>
          <w:sz w:val="22"/>
          <w:szCs w:val="22"/>
        </w:rPr>
        <w:t>Tra il 202</w:t>
      </w:r>
      <w:r w:rsidR="007F031F">
        <w:rPr>
          <w:rFonts w:ascii="Arial" w:hAnsi="Arial" w:cs="Arial"/>
          <w:iCs/>
          <w:sz w:val="22"/>
          <w:szCs w:val="22"/>
        </w:rPr>
        <w:t>3</w:t>
      </w:r>
      <w:r w:rsidR="00C97F1E">
        <w:rPr>
          <w:rFonts w:ascii="Arial" w:hAnsi="Arial" w:cs="Arial"/>
          <w:iCs/>
          <w:sz w:val="22"/>
          <w:szCs w:val="22"/>
        </w:rPr>
        <w:t xml:space="preserve"> e il 202</w:t>
      </w:r>
      <w:r w:rsidR="007F031F">
        <w:rPr>
          <w:rFonts w:ascii="Arial" w:hAnsi="Arial" w:cs="Arial"/>
          <w:iCs/>
          <w:sz w:val="22"/>
          <w:szCs w:val="22"/>
        </w:rPr>
        <w:t>4</w:t>
      </w:r>
      <w:r w:rsidR="00661374">
        <w:rPr>
          <w:rFonts w:ascii="Arial" w:hAnsi="Arial" w:cs="Arial"/>
          <w:iCs/>
          <w:sz w:val="22"/>
          <w:szCs w:val="22"/>
        </w:rPr>
        <w:t xml:space="preserve"> le</w:t>
      </w:r>
      <w:r w:rsidR="00FB1C79" w:rsidRPr="0062153A">
        <w:rPr>
          <w:rFonts w:ascii="Arial" w:hAnsi="Arial" w:cs="Arial"/>
          <w:iCs/>
          <w:sz w:val="22"/>
          <w:szCs w:val="22"/>
        </w:rPr>
        <w:t xml:space="preserve"> emigrazioni </w:t>
      </w:r>
      <w:r w:rsidR="00661374">
        <w:rPr>
          <w:rFonts w:ascii="Arial" w:hAnsi="Arial" w:cs="Arial"/>
          <w:iCs/>
          <w:sz w:val="22"/>
          <w:szCs w:val="22"/>
        </w:rPr>
        <w:t xml:space="preserve">di italiani nati all’estero sono </w:t>
      </w:r>
      <w:r w:rsidR="00C97F1E">
        <w:rPr>
          <w:rFonts w:ascii="Arial" w:hAnsi="Arial" w:cs="Arial"/>
          <w:iCs/>
          <w:sz w:val="22"/>
          <w:szCs w:val="22"/>
        </w:rPr>
        <w:t>state complessivamente</w:t>
      </w:r>
      <w:r w:rsidR="00661374">
        <w:rPr>
          <w:rFonts w:ascii="Arial" w:hAnsi="Arial" w:cs="Arial"/>
          <w:iCs/>
          <w:sz w:val="22"/>
          <w:szCs w:val="22"/>
        </w:rPr>
        <w:t xml:space="preserve"> </w:t>
      </w:r>
      <w:r w:rsidR="00587E3D">
        <w:rPr>
          <w:rFonts w:ascii="Arial" w:hAnsi="Arial" w:cs="Arial"/>
          <w:iCs/>
          <w:sz w:val="22"/>
          <w:szCs w:val="22"/>
        </w:rPr>
        <w:t>87</w:t>
      </w:r>
      <w:r w:rsidR="00FB1C79">
        <w:rPr>
          <w:rFonts w:ascii="Arial" w:hAnsi="Arial" w:cs="Arial"/>
          <w:iCs/>
          <w:sz w:val="22"/>
          <w:szCs w:val="22"/>
        </w:rPr>
        <w:t>mila</w:t>
      </w:r>
      <w:r w:rsidR="003C1949">
        <w:rPr>
          <w:rFonts w:ascii="Arial" w:hAnsi="Arial" w:cs="Arial"/>
          <w:iCs/>
          <w:sz w:val="22"/>
          <w:szCs w:val="22"/>
        </w:rPr>
        <w:t xml:space="preserve">, vale a dire </w:t>
      </w:r>
      <w:r w:rsidR="00C97F1E">
        <w:rPr>
          <w:rFonts w:ascii="Arial" w:hAnsi="Arial" w:cs="Arial"/>
          <w:iCs/>
          <w:sz w:val="22"/>
          <w:szCs w:val="22"/>
        </w:rPr>
        <w:t xml:space="preserve">circa un terzo del totale degli </w:t>
      </w:r>
      <w:r w:rsidR="00661374">
        <w:rPr>
          <w:rFonts w:ascii="Arial" w:hAnsi="Arial" w:cs="Arial"/>
          <w:iCs/>
          <w:sz w:val="22"/>
          <w:szCs w:val="22"/>
        </w:rPr>
        <w:t xml:space="preserve">espatri, </w:t>
      </w:r>
      <w:r w:rsidR="003C1949">
        <w:rPr>
          <w:rFonts w:ascii="Arial" w:hAnsi="Arial" w:cs="Arial"/>
          <w:iCs/>
          <w:sz w:val="22"/>
          <w:szCs w:val="22"/>
        </w:rPr>
        <w:t xml:space="preserve">con una crescita </w:t>
      </w:r>
      <w:r w:rsidR="008873FF">
        <w:rPr>
          <w:rFonts w:ascii="Arial" w:hAnsi="Arial" w:cs="Arial"/>
          <w:iCs/>
          <w:sz w:val="22"/>
          <w:szCs w:val="22"/>
        </w:rPr>
        <w:t xml:space="preserve">media </w:t>
      </w:r>
      <w:r w:rsidR="003C1949">
        <w:rPr>
          <w:rFonts w:ascii="Arial" w:hAnsi="Arial" w:cs="Arial"/>
          <w:iCs/>
          <w:sz w:val="22"/>
          <w:szCs w:val="22"/>
        </w:rPr>
        <w:t xml:space="preserve">del </w:t>
      </w:r>
      <w:r w:rsidR="00587E3D">
        <w:rPr>
          <w:rFonts w:ascii="Arial" w:hAnsi="Arial" w:cs="Arial"/>
          <w:iCs/>
          <w:sz w:val="22"/>
          <w:szCs w:val="22"/>
        </w:rPr>
        <w:t>53,8</w:t>
      </w:r>
      <w:r w:rsidR="00C97F1E">
        <w:rPr>
          <w:rFonts w:ascii="Arial" w:hAnsi="Arial" w:cs="Arial"/>
          <w:iCs/>
          <w:sz w:val="22"/>
          <w:szCs w:val="22"/>
        </w:rPr>
        <w:t>%</w:t>
      </w:r>
      <w:r w:rsidR="00661374">
        <w:rPr>
          <w:rFonts w:ascii="Arial" w:hAnsi="Arial" w:cs="Arial"/>
          <w:iCs/>
          <w:sz w:val="22"/>
          <w:szCs w:val="22"/>
        </w:rPr>
        <w:t xml:space="preserve"> rispetto al 202</w:t>
      </w:r>
      <w:r w:rsidR="007F031F">
        <w:rPr>
          <w:rFonts w:ascii="Arial" w:hAnsi="Arial" w:cs="Arial"/>
          <w:iCs/>
          <w:sz w:val="22"/>
          <w:szCs w:val="22"/>
        </w:rPr>
        <w:t>2</w:t>
      </w:r>
      <w:r w:rsidR="003C1949">
        <w:rPr>
          <w:rFonts w:ascii="Arial" w:hAnsi="Arial" w:cs="Arial"/>
          <w:iCs/>
          <w:sz w:val="22"/>
          <w:szCs w:val="22"/>
        </w:rPr>
        <w:t>.</w:t>
      </w:r>
      <w:r w:rsidR="00661374">
        <w:rPr>
          <w:rFonts w:ascii="Arial" w:hAnsi="Arial" w:cs="Arial"/>
          <w:iCs/>
          <w:sz w:val="22"/>
          <w:szCs w:val="22"/>
        </w:rPr>
        <w:t xml:space="preserve"> </w:t>
      </w:r>
      <w:r w:rsidR="003C1949">
        <w:rPr>
          <w:rFonts w:ascii="Arial" w:hAnsi="Arial" w:cs="Arial"/>
          <w:iCs/>
          <w:sz w:val="22"/>
          <w:szCs w:val="22"/>
        </w:rPr>
        <w:t>Di tali movimenti</w:t>
      </w:r>
      <w:r w:rsidR="00FB1C79" w:rsidRPr="0062153A">
        <w:rPr>
          <w:rFonts w:ascii="Arial" w:hAnsi="Arial" w:cs="Arial"/>
          <w:iCs/>
          <w:sz w:val="22"/>
          <w:szCs w:val="22"/>
        </w:rPr>
        <w:t xml:space="preserve">, </w:t>
      </w:r>
      <w:r w:rsidR="00580EED">
        <w:rPr>
          <w:rFonts w:ascii="Arial" w:hAnsi="Arial" w:cs="Arial"/>
          <w:iCs/>
          <w:sz w:val="22"/>
          <w:szCs w:val="22"/>
        </w:rPr>
        <w:t xml:space="preserve">tre su </w:t>
      </w:r>
      <w:r w:rsidR="00910B58">
        <w:rPr>
          <w:rFonts w:ascii="Arial" w:hAnsi="Arial" w:cs="Arial"/>
          <w:iCs/>
          <w:sz w:val="22"/>
          <w:szCs w:val="22"/>
        </w:rPr>
        <w:t>10</w:t>
      </w:r>
      <w:r w:rsidR="00580EED">
        <w:rPr>
          <w:rFonts w:ascii="Arial" w:hAnsi="Arial" w:cs="Arial"/>
          <w:iCs/>
          <w:sz w:val="22"/>
          <w:szCs w:val="22"/>
        </w:rPr>
        <w:t xml:space="preserve"> </w:t>
      </w:r>
      <w:r w:rsidR="003C1949">
        <w:rPr>
          <w:rFonts w:ascii="Arial" w:hAnsi="Arial" w:cs="Arial"/>
          <w:iCs/>
          <w:sz w:val="22"/>
          <w:szCs w:val="22"/>
        </w:rPr>
        <w:t xml:space="preserve">riguardano cittadini italiani </w:t>
      </w:r>
      <w:r w:rsidR="00661374">
        <w:rPr>
          <w:rFonts w:ascii="Arial" w:hAnsi="Arial" w:cs="Arial"/>
          <w:iCs/>
          <w:sz w:val="22"/>
          <w:szCs w:val="22"/>
        </w:rPr>
        <w:t>nat</w:t>
      </w:r>
      <w:r w:rsidR="00580EED">
        <w:rPr>
          <w:rFonts w:ascii="Arial" w:hAnsi="Arial" w:cs="Arial"/>
          <w:iCs/>
          <w:sz w:val="22"/>
          <w:szCs w:val="22"/>
        </w:rPr>
        <w:t>i</w:t>
      </w:r>
      <w:r w:rsidR="00661374">
        <w:rPr>
          <w:rFonts w:ascii="Arial" w:hAnsi="Arial" w:cs="Arial"/>
          <w:iCs/>
          <w:sz w:val="22"/>
          <w:szCs w:val="22"/>
        </w:rPr>
        <w:t xml:space="preserve"> in Brasile</w:t>
      </w:r>
      <w:r w:rsidR="00FB1C79" w:rsidRPr="0062153A">
        <w:rPr>
          <w:rFonts w:ascii="Arial" w:hAnsi="Arial" w:cs="Arial"/>
          <w:iCs/>
          <w:sz w:val="22"/>
          <w:szCs w:val="22"/>
        </w:rPr>
        <w:t>,</w:t>
      </w:r>
      <w:r w:rsidR="00661374">
        <w:rPr>
          <w:rFonts w:ascii="Arial" w:hAnsi="Arial" w:cs="Arial"/>
          <w:iCs/>
          <w:sz w:val="22"/>
          <w:szCs w:val="22"/>
        </w:rPr>
        <w:t xml:space="preserve"> </w:t>
      </w:r>
      <w:r w:rsidR="00580EED">
        <w:rPr>
          <w:rFonts w:ascii="Arial" w:hAnsi="Arial" w:cs="Arial"/>
          <w:iCs/>
          <w:sz w:val="22"/>
          <w:szCs w:val="22"/>
        </w:rPr>
        <w:t xml:space="preserve">il </w:t>
      </w:r>
      <w:r w:rsidR="00BA448D">
        <w:rPr>
          <w:rFonts w:ascii="Arial" w:hAnsi="Arial" w:cs="Arial"/>
          <w:iCs/>
          <w:sz w:val="22"/>
          <w:szCs w:val="22"/>
        </w:rPr>
        <w:t>18,5</w:t>
      </w:r>
      <w:r w:rsidR="00580EED">
        <w:rPr>
          <w:rFonts w:ascii="Arial" w:hAnsi="Arial" w:cs="Arial"/>
          <w:iCs/>
          <w:sz w:val="22"/>
          <w:szCs w:val="22"/>
        </w:rPr>
        <w:t>% in Argentina</w:t>
      </w:r>
      <w:r w:rsidR="007F031F">
        <w:rPr>
          <w:rFonts w:ascii="Arial" w:hAnsi="Arial" w:cs="Arial"/>
          <w:iCs/>
          <w:sz w:val="22"/>
          <w:szCs w:val="22"/>
        </w:rPr>
        <w:t xml:space="preserve"> e</w:t>
      </w:r>
      <w:r w:rsidR="00580EED">
        <w:rPr>
          <w:rFonts w:ascii="Arial" w:hAnsi="Arial" w:cs="Arial"/>
          <w:iCs/>
          <w:sz w:val="22"/>
          <w:szCs w:val="22"/>
        </w:rPr>
        <w:t xml:space="preserve"> </w:t>
      </w:r>
      <w:r w:rsidR="00661374">
        <w:rPr>
          <w:rFonts w:ascii="Arial" w:hAnsi="Arial" w:cs="Arial"/>
          <w:iCs/>
          <w:sz w:val="22"/>
          <w:szCs w:val="22"/>
        </w:rPr>
        <w:t>il</w:t>
      </w:r>
      <w:r w:rsidR="00FB1C79" w:rsidRPr="0062153A">
        <w:rPr>
          <w:rFonts w:ascii="Arial" w:hAnsi="Arial" w:cs="Arial"/>
          <w:iCs/>
          <w:sz w:val="22"/>
          <w:szCs w:val="22"/>
        </w:rPr>
        <w:t xml:space="preserve"> </w:t>
      </w:r>
      <w:r w:rsidR="007F031F">
        <w:rPr>
          <w:rFonts w:ascii="Arial" w:hAnsi="Arial" w:cs="Arial"/>
          <w:iCs/>
          <w:sz w:val="22"/>
          <w:szCs w:val="22"/>
        </w:rPr>
        <w:t>5</w:t>
      </w:r>
      <w:r w:rsidR="00580EED">
        <w:rPr>
          <w:rFonts w:ascii="Arial" w:hAnsi="Arial" w:cs="Arial"/>
          <w:iCs/>
          <w:sz w:val="22"/>
          <w:szCs w:val="22"/>
        </w:rPr>
        <w:t>,</w:t>
      </w:r>
      <w:r w:rsidR="00BA448D">
        <w:rPr>
          <w:rFonts w:ascii="Arial" w:hAnsi="Arial" w:cs="Arial"/>
          <w:iCs/>
          <w:sz w:val="22"/>
          <w:szCs w:val="22"/>
        </w:rPr>
        <w:t>5</w:t>
      </w:r>
      <w:r w:rsidR="00661374" w:rsidRPr="0062153A">
        <w:rPr>
          <w:rFonts w:ascii="Arial" w:hAnsi="Arial" w:cs="Arial"/>
          <w:iCs/>
          <w:sz w:val="22"/>
          <w:szCs w:val="22"/>
        </w:rPr>
        <w:t>% in Marocco</w:t>
      </w:r>
      <w:r w:rsidR="007F031F">
        <w:rPr>
          <w:rFonts w:ascii="Arial" w:hAnsi="Arial" w:cs="Arial"/>
          <w:iCs/>
          <w:sz w:val="22"/>
          <w:szCs w:val="22"/>
        </w:rPr>
        <w:t>.</w:t>
      </w:r>
      <w:r w:rsidR="003C1949">
        <w:rPr>
          <w:rFonts w:ascii="Arial" w:hAnsi="Arial" w:cs="Arial"/>
          <w:iCs/>
          <w:sz w:val="22"/>
          <w:szCs w:val="22"/>
        </w:rPr>
        <w:t xml:space="preserve"> Proprio il Brasile, peraltro, rappresenta </w:t>
      </w:r>
      <w:r w:rsidR="007F031F">
        <w:rPr>
          <w:rFonts w:ascii="Arial" w:hAnsi="Arial" w:cs="Arial"/>
          <w:iCs/>
          <w:sz w:val="22"/>
          <w:szCs w:val="22"/>
        </w:rPr>
        <w:t xml:space="preserve">la meta preferita degli italiani nati all’estero (15mila), </w:t>
      </w:r>
      <w:r w:rsidR="003C1949">
        <w:rPr>
          <w:rFonts w:ascii="Arial" w:hAnsi="Arial" w:cs="Arial"/>
          <w:iCs/>
          <w:sz w:val="22"/>
          <w:szCs w:val="22"/>
        </w:rPr>
        <w:t xml:space="preserve">davanti al </w:t>
      </w:r>
      <w:r w:rsidR="007F031F">
        <w:rPr>
          <w:rFonts w:ascii="Arial" w:hAnsi="Arial" w:cs="Arial"/>
          <w:iCs/>
          <w:sz w:val="22"/>
          <w:szCs w:val="22"/>
        </w:rPr>
        <w:t xml:space="preserve">Regno Unito (11mila) e </w:t>
      </w:r>
      <w:r w:rsidR="003C1949">
        <w:rPr>
          <w:rFonts w:ascii="Arial" w:hAnsi="Arial" w:cs="Arial"/>
          <w:iCs/>
          <w:sz w:val="22"/>
          <w:szCs w:val="22"/>
        </w:rPr>
        <w:t>al</w:t>
      </w:r>
      <w:r w:rsidR="007F031F">
        <w:rPr>
          <w:rFonts w:ascii="Arial" w:hAnsi="Arial" w:cs="Arial"/>
          <w:iCs/>
          <w:sz w:val="22"/>
          <w:szCs w:val="22"/>
        </w:rPr>
        <w:t xml:space="preserve">la </w:t>
      </w:r>
      <w:r w:rsidR="007217A7">
        <w:rPr>
          <w:rFonts w:ascii="Arial" w:hAnsi="Arial" w:cs="Arial"/>
          <w:iCs/>
          <w:sz w:val="22"/>
          <w:szCs w:val="22"/>
        </w:rPr>
        <w:t>Spagna</w:t>
      </w:r>
      <w:r w:rsidR="007F031F">
        <w:rPr>
          <w:rFonts w:ascii="Arial" w:hAnsi="Arial" w:cs="Arial"/>
          <w:iCs/>
          <w:sz w:val="22"/>
          <w:szCs w:val="22"/>
        </w:rPr>
        <w:t xml:space="preserve"> (</w:t>
      </w:r>
      <w:r w:rsidR="00E90572">
        <w:rPr>
          <w:rFonts w:ascii="Arial" w:hAnsi="Arial" w:cs="Arial"/>
          <w:iCs/>
          <w:sz w:val="22"/>
          <w:szCs w:val="22"/>
        </w:rPr>
        <w:t xml:space="preserve">9 </w:t>
      </w:r>
      <w:r w:rsidR="007217A7">
        <w:rPr>
          <w:rFonts w:ascii="Arial" w:hAnsi="Arial" w:cs="Arial"/>
          <w:iCs/>
          <w:sz w:val="22"/>
          <w:szCs w:val="22"/>
        </w:rPr>
        <w:t xml:space="preserve">mila). </w:t>
      </w:r>
    </w:p>
    <w:p w14:paraId="71EE21C6" w14:textId="1BAF5868" w:rsidR="002D5A4C" w:rsidRDefault="00283023">
      <w:pPr>
        <w:spacing w:after="120"/>
        <w:jc w:val="both"/>
        <w:rPr>
          <w:rFonts w:ascii="Arial" w:hAnsi="Arial" w:cs="Arial"/>
          <w:iCs/>
          <w:sz w:val="22"/>
          <w:szCs w:val="22"/>
        </w:rPr>
      </w:pPr>
      <w:r>
        <w:rPr>
          <w:rFonts w:ascii="Arial" w:hAnsi="Arial" w:cs="Arial"/>
          <w:iCs/>
          <w:sz w:val="22"/>
          <w:szCs w:val="22"/>
        </w:rPr>
        <w:t>I</w:t>
      </w:r>
      <w:r w:rsidR="00701803" w:rsidRPr="00A90D7D">
        <w:rPr>
          <w:rFonts w:ascii="Arial" w:hAnsi="Arial" w:cs="Arial"/>
          <w:iCs/>
          <w:sz w:val="22"/>
          <w:szCs w:val="22"/>
        </w:rPr>
        <w:t xml:space="preserve"> cittadini italiani </w:t>
      </w:r>
      <w:r w:rsidR="00701803">
        <w:rPr>
          <w:rFonts w:ascii="Arial" w:hAnsi="Arial" w:cs="Arial"/>
          <w:iCs/>
          <w:sz w:val="22"/>
          <w:szCs w:val="22"/>
        </w:rPr>
        <w:t>di origine africana</w:t>
      </w:r>
      <w:r w:rsidR="00701803" w:rsidRPr="00A90D7D">
        <w:rPr>
          <w:rFonts w:ascii="Arial" w:hAnsi="Arial" w:cs="Arial"/>
          <w:iCs/>
          <w:sz w:val="22"/>
          <w:szCs w:val="22"/>
        </w:rPr>
        <w:t xml:space="preserve"> emigrano per</w:t>
      </w:r>
      <w:r w:rsidR="00701803">
        <w:rPr>
          <w:rFonts w:ascii="Arial" w:hAnsi="Arial" w:cs="Arial"/>
          <w:iCs/>
          <w:sz w:val="22"/>
          <w:szCs w:val="22"/>
        </w:rPr>
        <w:t xml:space="preserve"> </w:t>
      </w:r>
      <w:r w:rsidR="00701803" w:rsidRPr="00A90D7D">
        <w:rPr>
          <w:rFonts w:ascii="Arial" w:hAnsi="Arial" w:cs="Arial"/>
          <w:iCs/>
          <w:sz w:val="22"/>
          <w:szCs w:val="22"/>
        </w:rPr>
        <w:t>lo</w:t>
      </w:r>
      <w:r w:rsidR="00701803">
        <w:rPr>
          <w:rFonts w:ascii="Arial" w:hAnsi="Arial" w:cs="Arial"/>
          <w:iCs/>
          <w:sz w:val="22"/>
          <w:szCs w:val="22"/>
        </w:rPr>
        <w:t xml:space="preserve"> </w:t>
      </w:r>
      <w:r w:rsidR="00701803" w:rsidRPr="00A90D7D">
        <w:rPr>
          <w:rFonts w:ascii="Arial" w:hAnsi="Arial" w:cs="Arial"/>
          <w:iCs/>
          <w:sz w:val="22"/>
          <w:szCs w:val="22"/>
        </w:rPr>
        <w:t>più in Francia (</w:t>
      </w:r>
      <w:r w:rsidR="00701803">
        <w:rPr>
          <w:rFonts w:ascii="Arial" w:hAnsi="Arial" w:cs="Arial"/>
          <w:iCs/>
          <w:sz w:val="22"/>
          <w:szCs w:val="22"/>
        </w:rPr>
        <w:t>4</w:t>
      </w:r>
      <w:r w:rsidR="007217A7">
        <w:rPr>
          <w:rFonts w:ascii="Arial" w:hAnsi="Arial" w:cs="Arial"/>
          <w:iCs/>
          <w:sz w:val="22"/>
          <w:szCs w:val="22"/>
        </w:rPr>
        <w:t>5,7</w:t>
      </w:r>
      <w:r w:rsidR="00701803" w:rsidRPr="00A90D7D">
        <w:rPr>
          <w:rFonts w:ascii="Arial" w:hAnsi="Arial" w:cs="Arial"/>
          <w:iCs/>
          <w:sz w:val="22"/>
          <w:szCs w:val="22"/>
        </w:rPr>
        <w:t>%), quelli nati in Asia nella stragrande maggioranza si dirigono verso il Regno Unito (</w:t>
      </w:r>
      <w:r w:rsidR="00701803">
        <w:rPr>
          <w:rFonts w:ascii="Arial" w:hAnsi="Arial" w:cs="Arial"/>
          <w:iCs/>
          <w:sz w:val="22"/>
          <w:szCs w:val="22"/>
        </w:rPr>
        <w:t>7</w:t>
      </w:r>
      <w:r w:rsidR="007217A7">
        <w:rPr>
          <w:rFonts w:ascii="Arial" w:hAnsi="Arial" w:cs="Arial"/>
          <w:iCs/>
          <w:sz w:val="22"/>
          <w:szCs w:val="22"/>
        </w:rPr>
        <w:t>2</w:t>
      </w:r>
      <w:r w:rsidR="00701803">
        <w:rPr>
          <w:rFonts w:ascii="Arial" w:hAnsi="Arial" w:cs="Arial"/>
          <w:iCs/>
          <w:sz w:val="22"/>
          <w:szCs w:val="22"/>
        </w:rPr>
        <w:t>,9</w:t>
      </w:r>
      <w:r w:rsidR="00701803" w:rsidRPr="00A90D7D">
        <w:rPr>
          <w:rFonts w:ascii="Arial" w:hAnsi="Arial" w:cs="Arial"/>
          <w:iCs/>
          <w:sz w:val="22"/>
          <w:szCs w:val="22"/>
        </w:rPr>
        <w:t>%)</w:t>
      </w:r>
      <w:r w:rsidR="00701803">
        <w:rPr>
          <w:rFonts w:ascii="Arial" w:hAnsi="Arial" w:cs="Arial"/>
          <w:iCs/>
          <w:sz w:val="22"/>
          <w:szCs w:val="22"/>
        </w:rPr>
        <w:t>,</w:t>
      </w:r>
      <w:r w:rsidR="00701803" w:rsidRPr="00A90D7D">
        <w:rPr>
          <w:rFonts w:ascii="Arial" w:hAnsi="Arial" w:cs="Arial"/>
          <w:iCs/>
          <w:sz w:val="22"/>
          <w:szCs w:val="22"/>
        </w:rPr>
        <w:t xml:space="preserve"> </w:t>
      </w:r>
      <w:r w:rsidR="00701803">
        <w:rPr>
          <w:rFonts w:ascii="Arial" w:hAnsi="Arial" w:cs="Arial"/>
          <w:iCs/>
          <w:sz w:val="22"/>
          <w:szCs w:val="22"/>
        </w:rPr>
        <w:t>quelli</w:t>
      </w:r>
      <w:r w:rsidR="00701803" w:rsidRPr="00A90D7D">
        <w:rPr>
          <w:rFonts w:ascii="Arial" w:hAnsi="Arial" w:cs="Arial"/>
          <w:iCs/>
          <w:sz w:val="22"/>
          <w:szCs w:val="22"/>
        </w:rPr>
        <w:t xml:space="preserve"> nati </w:t>
      </w:r>
      <w:r w:rsidR="00701803">
        <w:rPr>
          <w:rFonts w:ascii="Arial" w:hAnsi="Arial" w:cs="Arial"/>
          <w:iCs/>
          <w:sz w:val="22"/>
          <w:szCs w:val="22"/>
        </w:rPr>
        <w:t>in un paese dell’</w:t>
      </w:r>
      <w:r w:rsidR="00701803" w:rsidRPr="00A90D7D">
        <w:rPr>
          <w:rFonts w:ascii="Arial" w:hAnsi="Arial" w:cs="Arial"/>
          <w:iCs/>
          <w:sz w:val="22"/>
          <w:szCs w:val="22"/>
        </w:rPr>
        <w:t>U</w:t>
      </w:r>
      <w:r w:rsidR="00180744">
        <w:rPr>
          <w:rFonts w:ascii="Arial" w:hAnsi="Arial" w:cs="Arial"/>
          <w:iCs/>
          <w:sz w:val="22"/>
          <w:szCs w:val="22"/>
        </w:rPr>
        <w:t xml:space="preserve">nione </w:t>
      </w:r>
      <w:r w:rsidR="00701803" w:rsidRPr="00A90D7D">
        <w:rPr>
          <w:rFonts w:ascii="Arial" w:hAnsi="Arial" w:cs="Arial"/>
          <w:iCs/>
          <w:sz w:val="22"/>
          <w:szCs w:val="22"/>
        </w:rPr>
        <w:t>e</w:t>
      </w:r>
      <w:r w:rsidR="00180744">
        <w:rPr>
          <w:rFonts w:ascii="Arial" w:hAnsi="Arial" w:cs="Arial"/>
          <w:iCs/>
          <w:sz w:val="22"/>
          <w:szCs w:val="22"/>
        </w:rPr>
        <w:t>uropea</w:t>
      </w:r>
      <w:r w:rsidR="00701803" w:rsidRPr="00A90D7D">
        <w:rPr>
          <w:rFonts w:ascii="Arial" w:hAnsi="Arial" w:cs="Arial"/>
          <w:iCs/>
          <w:sz w:val="22"/>
          <w:szCs w:val="22"/>
        </w:rPr>
        <w:t xml:space="preserve"> emigrano soprattutto in Germania (</w:t>
      </w:r>
      <w:r w:rsidR="00701803">
        <w:rPr>
          <w:rFonts w:ascii="Arial" w:hAnsi="Arial" w:cs="Arial"/>
          <w:iCs/>
          <w:sz w:val="22"/>
          <w:szCs w:val="22"/>
        </w:rPr>
        <w:t>2</w:t>
      </w:r>
      <w:r w:rsidR="007217A7">
        <w:rPr>
          <w:rFonts w:ascii="Arial" w:hAnsi="Arial" w:cs="Arial"/>
          <w:iCs/>
          <w:sz w:val="22"/>
          <w:szCs w:val="22"/>
        </w:rPr>
        <w:t>3,8</w:t>
      </w:r>
      <w:r w:rsidR="00701803" w:rsidRPr="00A90D7D">
        <w:rPr>
          <w:rFonts w:ascii="Arial" w:hAnsi="Arial" w:cs="Arial"/>
          <w:iCs/>
          <w:sz w:val="22"/>
          <w:szCs w:val="22"/>
        </w:rPr>
        <w:t>%).</w:t>
      </w:r>
      <w:r w:rsidR="00D85FBA">
        <w:rPr>
          <w:rFonts w:ascii="Arial" w:hAnsi="Arial" w:cs="Arial"/>
          <w:iCs/>
          <w:sz w:val="22"/>
          <w:szCs w:val="22"/>
        </w:rPr>
        <w:t xml:space="preserve"> Il 54% dei nativi </w:t>
      </w:r>
      <w:r w:rsidR="00763F9D">
        <w:rPr>
          <w:rFonts w:ascii="Arial" w:hAnsi="Arial" w:cs="Arial"/>
          <w:iCs/>
          <w:sz w:val="22"/>
          <w:szCs w:val="22"/>
        </w:rPr>
        <w:t>sudamericani</w:t>
      </w:r>
      <w:r w:rsidR="00D85FBA">
        <w:rPr>
          <w:rFonts w:ascii="Arial" w:hAnsi="Arial" w:cs="Arial"/>
          <w:iCs/>
          <w:sz w:val="22"/>
          <w:szCs w:val="22"/>
        </w:rPr>
        <w:t xml:space="preserve"> invece torna a casa, mentre il 39% sceglie un paese dell’Unione europea (la Spagna nel 16% dei casi).</w:t>
      </w:r>
    </w:p>
    <w:p w14:paraId="3F332CDD" w14:textId="77777777" w:rsidR="00D85FBA" w:rsidRDefault="00D85FBA">
      <w:pPr>
        <w:spacing w:after="120"/>
        <w:jc w:val="both"/>
        <w:rPr>
          <w:rFonts w:ascii="Arial" w:hAnsi="Arial" w:cs="Arial"/>
          <w:iCs/>
          <w:sz w:val="22"/>
          <w:szCs w:val="22"/>
        </w:rPr>
      </w:pPr>
    </w:p>
    <w:p w14:paraId="095234E3" w14:textId="77777777" w:rsidR="00D85FBA" w:rsidRDefault="00D85FBA">
      <w:pPr>
        <w:spacing w:after="120"/>
        <w:jc w:val="both"/>
        <w:rPr>
          <w:rFonts w:ascii="Arial" w:hAnsi="Arial" w:cs="Arial"/>
          <w:iCs/>
          <w:sz w:val="22"/>
          <w:szCs w:val="22"/>
        </w:rPr>
      </w:pPr>
    </w:p>
    <w:p w14:paraId="366513B1" w14:textId="77777777" w:rsidR="00D85FBA" w:rsidRDefault="00D85FBA">
      <w:pPr>
        <w:spacing w:after="120"/>
        <w:jc w:val="both"/>
        <w:rPr>
          <w:rFonts w:ascii="Arial" w:hAnsi="Arial" w:cs="Arial"/>
          <w:iCs/>
          <w:sz w:val="22"/>
          <w:szCs w:val="22"/>
        </w:rPr>
      </w:pPr>
    </w:p>
    <w:p w14:paraId="3DAEA6BE" w14:textId="247CFBF3" w:rsidR="006A4416" w:rsidRDefault="006A4416">
      <w:pPr>
        <w:spacing w:after="120"/>
        <w:jc w:val="both"/>
        <w:rPr>
          <w:rFonts w:ascii="Arial" w:hAnsi="Arial" w:cs="Arial"/>
          <w:iCs/>
          <w:sz w:val="22"/>
          <w:szCs w:val="22"/>
        </w:rPr>
      </w:pPr>
    </w:p>
    <w:p w14:paraId="29A36D82" w14:textId="77777777" w:rsidR="00021645" w:rsidRDefault="00021645">
      <w:pPr>
        <w:spacing w:after="120"/>
        <w:jc w:val="both"/>
        <w:rPr>
          <w:rFonts w:ascii="Arial" w:hAnsi="Arial" w:cs="Arial"/>
          <w:iCs/>
          <w:sz w:val="22"/>
          <w:szCs w:val="22"/>
        </w:rPr>
      </w:pPr>
    </w:p>
    <w:p w14:paraId="4AC038B6" w14:textId="0EBF9180" w:rsidR="006A4416" w:rsidRDefault="006A4416">
      <w:pPr>
        <w:spacing w:after="120"/>
        <w:jc w:val="both"/>
        <w:rPr>
          <w:rFonts w:ascii="Arial" w:hAnsi="Arial" w:cs="Arial"/>
          <w:iCs/>
          <w:sz w:val="22"/>
          <w:szCs w:val="22"/>
        </w:rPr>
      </w:pPr>
    </w:p>
    <w:p w14:paraId="663D9B43" w14:textId="7849D395" w:rsidR="00573662" w:rsidRDefault="00573662" w:rsidP="00E90572">
      <w:pPr>
        <w:jc w:val="both"/>
        <w:rPr>
          <w:rFonts w:ascii="Arial" w:hAnsi="Arial" w:cs="Arial"/>
          <w:iCs/>
          <w:sz w:val="22"/>
          <w:szCs w:val="22"/>
        </w:rPr>
      </w:pPr>
    </w:p>
    <w:p w14:paraId="4346FD21" w14:textId="77777777" w:rsidR="00FD67EA" w:rsidRDefault="00FD67EA" w:rsidP="00E90572">
      <w:pPr>
        <w:jc w:val="both"/>
        <w:rPr>
          <w:rFonts w:ascii="Arial" w:hAnsi="Arial" w:cs="Arial"/>
          <w:iCs/>
          <w:sz w:val="22"/>
          <w:szCs w:val="22"/>
        </w:rPr>
      </w:pPr>
    </w:p>
    <w:p w14:paraId="32A046EB" w14:textId="7D759228" w:rsidR="00501127" w:rsidRDefault="00501127" w:rsidP="00501127">
      <w:pPr>
        <w:jc w:val="both"/>
        <w:rPr>
          <w:rFonts w:ascii="Arial Narrow" w:hAnsi="Arial Narrow" w:cs="Arial"/>
          <w:iCs/>
          <w:noProof/>
          <w:color w:val="1F497D" w:themeColor="text2"/>
          <w:sz w:val="22"/>
          <w:szCs w:val="22"/>
        </w:rPr>
      </w:pPr>
      <w:r>
        <w:rPr>
          <w:rFonts w:ascii="Arial Black" w:hAnsi="Arial Black" w:cs="Arial"/>
          <w:iCs/>
          <w:noProof/>
          <w:color w:val="1F497D" w:themeColor="text2"/>
          <w:sz w:val="22"/>
          <w:szCs w:val="22"/>
        </w:rPr>
        <w:t>FIGURA 5</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00745A34">
        <w:rPr>
          <w:rFonts w:ascii="Arial Narrow" w:hAnsi="Arial Narrow" w:cs="Arial"/>
          <w:b/>
          <w:iCs/>
          <w:noProof/>
          <w:color w:val="1F497D" w:themeColor="text2"/>
          <w:sz w:val="22"/>
          <w:szCs w:val="22"/>
        </w:rPr>
        <w:t>EMIGRAZIONI</w:t>
      </w:r>
      <w:r w:rsidR="00021645">
        <w:rPr>
          <w:rFonts w:ascii="Arial Narrow" w:hAnsi="Arial Narrow" w:cs="Arial"/>
          <w:b/>
          <w:iCs/>
          <w:noProof/>
          <w:color w:val="1F497D" w:themeColor="text2"/>
          <w:sz w:val="22"/>
          <w:szCs w:val="22"/>
        </w:rPr>
        <w:t xml:space="preserve"> DEI CITTADI</w:t>
      </w:r>
      <w:r>
        <w:rPr>
          <w:rFonts w:ascii="Arial Narrow" w:hAnsi="Arial Narrow" w:cs="Arial"/>
          <w:b/>
          <w:iCs/>
          <w:noProof/>
          <w:color w:val="1F497D" w:themeColor="text2"/>
          <w:sz w:val="22"/>
          <w:szCs w:val="22"/>
        </w:rPr>
        <w:t xml:space="preserve">NI ITALIANI </w:t>
      </w:r>
      <w:r w:rsidR="00021645">
        <w:rPr>
          <w:rFonts w:ascii="Arial Narrow" w:hAnsi="Arial Narrow" w:cs="Arial"/>
          <w:b/>
          <w:iCs/>
          <w:noProof/>
          <w:color w:val="1F497D" w:themeColor="text2"/>
          <w:sz w:val="22"/>
          <w:szCs w:val="22"/>
        </w:rPr>
        <w:t>PER AREA DI ESPATRIO E AREA DI NASCITA</w:t>
      </w:r>
      <w:r w:rsidRPr="00FB204E">
        <w:rPr>
          <w:rFonts w:ascii="Arial Narrow" w:hAnsi="Arial Narrow" w:cs="Arial"/>
          <w:b/>
          <w:iCs/>
          <w:noProof/>
          <w:color w:val="1F497D" w:themeColor="text2"/>
          <w:sz w:val="22"/>
          <w:szCs w:val="22"/>
        </w:rPr>
        <w:t>.</w:t>
      </w:r>
      <w:r>
        <w:rPr>
          <w:rFonts w:ascii="Arial Narrow" w:hAnsi="Arial Narrow" w:cs="Arial"/>
          <w:b/>
          <w:iCs/>
          <w:noProof/>
          <w:color w:val="1F497D" w:themeColor="text2"/>
          <w:sz w:val="22"/>
          <w:szCs w:val="22"/>
        </w:rPr>
        <w:t xml:space="preserve"> </w:t>
      </w:r>
      <w:r w:rsidRPr="0012394C">
        <w:rPr>
          <w:rFonts w:ascii="Arial Narrow" w:hAnsi="Arial Narrow" w:cs="Arial"/>
          <w:iCs/>
          <w:noProof/>
          <w:color w:val="1F497D" w:themeColor="text2"/>
          <w:sz w:val="22"/>
          <w:szCs w:val="22"/>
        </w:rPr>
        <w:t>Ann</w:t>
      </w:r>
      <w:r w:rsidR="0089195F">
        <w:rPr>
          <w:rFonts w:ascii="Arial Narrow" w:hAnsi="Arial Narrow" w:cs="Arial"/>
          <w:iCs/>
          <w:noProof/>
          <w:color w:val="1F497D" w:themeColor="text2"/>
          <w:sz w:val="22"/>
          <w:szCs w:val="22"/>
        </w:rPr>
        <w:t>i</w:t>
      </w:r>
      <w:r w:rsidRPr="0012394C">
        <w:rPr>
          <w:rFonts w:ascii="Arial Narrow" w:hAnsi="Arial Narrow" w:cs="Arial"/>
          <w:iCs/>
          <w:noProof/>
          <w:color w:val="1F497D" w:themeColor="text2"/>
          <w:sz w:val="22"/>
          <w:szCs w:val="22"/>
        </w:rPr>
        <w:t xml:space="preserve"> </w:t>
      </w:r>
      <w:r>
        <w:rPr>
          <w:rFonts w:ascii="Arial Narrow" w:hAnsi="Arial Narrow" w:cs="Arial"/>
          <w:iCs/>
          <w:noProof/>
          <w:color w:val="1F497D" w:themeColor="text2"/>
          <w:sz w:val="22"/>
          <w:szCs w:val="22"/>
        </w:rPr>
        <w:t>20</w:t>
      </w:r>
      <w:r w:rsidR="00021645">
        <w:rPr>
          <w:rFonts w:ascii="Arial Narrow" w:hAnsi="Arial Narrow" w:cs="Arial"/>
          <w:iCs/>
          <w:noProof/>
          <w:color w:val="1F497D" w:themeColor="text2"/>
          <w:sz w:val="22"/>
          <w:szCs w:val="22"/>
        </w:rPr>
        <w:t>14</w:t>
      </w:r>
      <w:r w:rsidR="0089195F">
        <w:rPr>
          <w:rFonts w:ascii="Arial Narrow" w:hAnsi="Arial Narrow" w:cs="Arial"/>
          <w:iCs/>
          <w:noProof/>
          <w:color w:val="1F497D" w:themeColor="text2"/>
          <w:sz w:val="22"/>
          <w:szCs w:val="22"/>
        </w:rPr>
        <w:t>-202</w:t>
      </w:r>
      <w:r w:rsidR="00021645">
        <w:rPr>
          <w:rFonts w:ascii="Arial Narrow" w:hAnsi="Arial Narrow" w:cs="Arial"/>
          <w:iCs/>
          <w:noProof/>
          <w:color w:val="1F497D" w:themeColor="text2"/>
          <w:sz w:val="22"/>
          <w:szCs w:val="22"/>
        </w:rPr>
        <w:t>4</w:t>
      </w:r>
      <w:r>
        <w:rPr>
          <w:rFonts w:ascii="Arial Narrow" w:hAnsi="Arial Narrow" w:cs="Arial"/>
          <w:iCs/>
          <w:noProof/>
          <w:color w:val="1F497D" w:themeColor="text2"/>
          <w:sz w:val="22"/>
          <w:szCs w:val="22"/>
        </w:rPr>
        <w:t xml:space="preserve">, valori </w:t>
      </w:r>
      <w:r w:rsidR="00021645">
        <w:rPr>
          <w:rFonts w:ascii="Arial Narrow" w:hAnsi="Arial Narrow" w:cs="Arial"/>
          <w:iCs/>
          <w:noProof/>
          <w:color w:val="1F497D" w:themeColor="text2"/>
          <w:sz w:val="22"/>
          <w:szCs w:val="22"/>
        </w:rPr>
        <w:t>percentuali</w:t>
      </w:r>
    </w:p>
    <w:p w14:paraId="7E4FE5A7" w14:textId="77777777" w:rsidR="00974F90" w:rsidRDefault="00974F90" w:rsidP="00501127">
      <w:pPr>
        <w:jc w:val="both"/>
        <w:rPr>
          <w:rFonts w:ascii="Arial Narrow" w:hAnsi="Arial Narrow" w:cs="Arial"/>
          <w:iCs/>
          <w:noProof/>
          <w:color w:val="1F497D" w:themeColor="text2"/>
          <w:sz w:val="22"/>
          <w:szCs w:val="22"/>
        </w:rPr>
      </w:pPr>
    </w:p>
    <w:p w14:paraId="4297E394" w14:textId="4535A773" w:rsidR="00501127" w:rsidRDefault="00021645" w:rsidP="00763F9D">
      <w:pPr>
        <w:jc w:val="both"/>
        <w:rPr>
          <w:rFonts w:ascii="Arial" w:hAnsi="Arial" w:cs="Arial"/>
          <w:b/>
          <w:iCs/>
          <w:color w:val="1F497D" w:themeColor="text2"/>
          <w:sz w:val="26"/>
          <w:szCs w:val="26"/>
        </w:rPr>
      </w:pPr>
      <w:r>
        <w:rPr>
          <w:noProof/>
        </w:rPr>
        <w:drawing>
          <wp:inline distT="0" distB="0" distL="0" distR="0" wp14:anchorId="3969B17F" wp14:editId="1F525022">
            <wp:extent cx="6429737" cy="2317750"/>
            <wp:effectExtent l="0" t="0" r="0" b="6350"/>
            <wp:docPr id="2503804" name="Grafico 1">
              <a:extLst xmlns:a="http://schemas.openxmlformats.org/drawingml/2006/main">
                <a:ext uri="{FF2B5EF4-FFF2-40B4-BE49-F238E27FC236}">
                  <a16:creationId xmlns:a16="http://schemas.microsoft.com/office/drawing/2014/main" id="{B622C634-3126-4515-D049-08C695246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01127">
        <w:rPr>
          <w:rFonts w:ascii="Arial" w:hAnsi="Arial" w:cs="Arial"/>
          <w:b/>
          <w:iCs/>
          <w:color w:val="1F497D" w:themeColor="text2"/>
          <w:sz w:val="26"/>
          <w:szCs w:val="26"/>
        </w:rPr>
        <w:br w:type="page"/>
      </w:r>
    </w:p>
    <w:p w14:paraId="4C38BD69" w14:textId="0FC10C18" w:rsidR="00573662" w:rsidRPr="00E90572" w:rsidRDefault="00573662" w:rsidP="00C32E69">
      <w:pPr>
        <w:spacing w:after="120"/>
        <w:jc w:val="both"/>
        <w:rPr>
          <w:rFonts w:ascii="Arial" w:hAnsi="Arial" w:cs="Arial"/>
          <w:iCs/>
          <w:color w:val="1F497D" w:themeColor="text2"/>
          <w:sz w:val="22"/>
          <w:szCs w:val="26"/>
        </w:rPr>
      </w:pPr>
    </w:p>
    <w:p w14:paraId="3FDB1777" w14:textId="0C2395DC" w:rsidR="00F148C2" w:rsidRPr="007E6A9D" w:rsidRDefault="00352901" w:rsidP="00C32E69">
      <w:pPr>
        <w:spacing w:after="120"/>
        <w:jc w:val="both"/>
        <w:rPr>
          <w:rFonts w:ascii="Arial" w:hAnsi="Arial" w:cs="Arial"/>
          <w:b/>
          <w:iCs/>
          <w:color w:val="1F497D" w:themeColor="text2"/>
          <w:sz w:val="26"/>
          <w:szCs w:val="26"/>
        </w:rPr>
      </w:pPr>
      <w:r>
        <w:rPr>
          <w:rFonts w:ascii="Arial" w:hAnsi="Arial" w:cs="Arial"/>
          <w:b/>
          <w:iCs/>
          <w:color w:val="1F497D" w:themeColor="text2"/>
          <w:sz w:val="26"/>
          <w:szCs w:val="26"/>
        </w:rPr>
        <w:t>L</w:t>
      </w:r>
      <w:r w:rsidR="00620C75">
        <w:rPr>
          <w:rFonts w:ascii="Arial" w:hAnsi="Arial" w:cs="Arial"/>
          <w:b/>
          <w:iCs/>
          <w:color w:val="1F497D" w:themeColor="text2"/>
          <w:sz w:val="26"/>
          <w:szCs w:val="26"/>
        </w:rPr>
        <w:t xml:space="preserve">a perdita di capitale umano </w:t>
      </w:r>
      <w:r>
        <w:rPr>
          <w:rFonts w:ascii="Arial" w:hAnsi="Arial" w:cs="Arial"/>
          <w:b/>
          <w:iCs/>
          <w:color w:val="1F497D" w:themeColor="text2"/>
          <w:sz w:val="26"/>
          <w:szCs w:val="26"/>
        </w:rPr>
        <w:t>all</w:t>
      </w:r>
      <w:r w:rsidR="00620C75">
        <w:rPr>
          <w:rFonts w:ascii="Arial" w:hAnsi="Arial" w:cs="Arial"/>
          <w:b/>
          <w:iCs/>
          <w:color w:val="1F497D" w:themeColor="text2"/>
          <w:sz w:val="26"/>
          <w:szCs w:val="26"/>
        </w:rPr>
        <w:t>’estero</w:t>
      </w:r>
      <w:r>
        <w:rPr>
          <w:rFonts w:ascii="Arial" w:hAnsi="Arial" w:cs="Arial"/>
          <w:b/>
          <w:iCs/>
          <w:color w:val="1F497D" w:themeColor="text2"/>
          <w:sz w:val="26"/>
          <w:szCs w:val="26"/>
        </w:rPr>
        <w:t xml:space="preserve"> si azzera grazie al contributo degli stranieri</w:t>
      </w:r>
    </w:p>
    <w:p w14:paraId="736B7344" w14:textId="319CE28B" w:rsidR="00F15C43" w:rsidRDefault="00F15C43" w:rsidP="00C32E69">
      <w:pPr>
        <w:spacing w:after="120"/>
        <w:jc w:val="both"/>
        <w:rPr>
          <w:rFonts w:ascii="Arial" w:hAnsi="Arial" w:cs="Arial"/>
          <w:iCs/>
          <w:sz w:val="22"/>
          <w:szCs w:val="22"/>
        </w:rPr>
      </w:pPr>
      <w:r w:rsidRPr="00F15C43">
        <w:rPr>
          <w:rFonts w:ascii="Arial" w:hAnsi="Arial" w:cs="Arial"/>
          <w:iCs/>
          <w:sz w:val="22"/>
          <w:szCs w:val="22"/>
        </w:rPr>
        <w:t xml:space="preserve">Il trasferimento di residenza all’estero può essere interpretato come una scelta personale, sia temporanea che di lungo periodo, motivata dall’esigenza di esplorare nuove opportunità di studio, lavoro e crescita personale. </w:t>
      </w:r>
      <w:r>
        <w:rPr>
          <w:rFonts w:ascii="Arial" w:hAnsi="Arial" w:cs="Arial"/>
          <w:iCs/>
          <w:sz w:val="22"/>
          <w:szCs w:val="22"/>
        </w:rPr>
        <w:t>Le emigrazioni,</w:t>
      </w:r>
      <w:r w:rsidRPr="00F15C43">
        <w:rPr>
          <w:rFonts w:ascii="Arial" w:hAnsi="Arial" w:cs="Arial"/>
          <w:iCs/>
          <w:sz w:val="22"/>
          <w:szCs w:val="22"/>
        </w:rPr>
        <w:t xml:space="preserve"> </w:t>
      </w:r>
      <w:r>
        <w:rPr>
          <w:rFonts w:ascii="Arial" w:hAnsi="Arial" w:cs="Arial"/>
          <w:iCs/>
          <w:sz w:val="22"/>
          <w:szCs w:val="22"/>
        </w:rPr>
        <w:t>soprattutto quelle dei più</w:t>
      </w:r>
      <w:r w:rsidRPr="00F15C43">
        <w:rPr>
          <w:rFonts w:ascii="Arial" w:hAnsi="Arial" w:cs="Arial"/>
          <w:iCs/>
          <w:sz w:val="22"/>
          <w:szCs w:val="22"/>
        </w:rPr>
        <w:t xml:space="preserve"> giovani, rispond</w:t>
      </w:r>
      <w:r>
        <w:rPr>
          <w:rFonts w:ascii="Arial" w:hAnsi="Arial" w:cs="Arial"/>
          <w:iCs/>
          <w:sz w:val="22"/>
          <w:szCs w:val="22"/>
        </w:rPr>
        <w:t>ono</w:t>
      </w:r>
      <w:r w:rsidRPr="00F15C43">
        <w:rPr>
          <w:rFonts w:ascii="Arial" w:hAnsi="Arial" w:cs="Arial"/>
          <w:iCs/>
          <w:sz w:val="22"/>
          <w:szCs w:val="22"/>
        </w:rPr>
        <w:t xml:space="preserve"> al desiderio di arricchire il proprio bagaglio di esperienze, migliorare la condizione economica e ampliare gli orizzonti di realizzazione professionale</w:t>
      </w:r>
      <w:r>
        <w:rPr>
          <w:rFonts w:ascii="Arial" w:hAnsi="Arial" w:cs="Arial"/>
          <w:iCs/>
          <w:sz w:val="22"/>
          <w:szCs w:val="22"/>
        </w:rPr>
        <w:t>.</w:t>
      </w:r>
    </w:p>
    <w:p w14:paraId="3B669375" w14:textId="23B4E316" w:rsidR="002D5A4C" w:rsidRPr="0047256C" w:rsidRDefault="00F15C43" w:rsidP="00C32E69">
      <w:pPr>
        <w:spacing w:after="120"/>
        <w:jc w:val="both"/>
        <w:rPr>
          <w:rFonts w:ascii="Arial" w:hAnsi="Arial" w:cs="Arial"/>
          <w:iCs/>
          <w:sz w:val="22"/>
          <w:szCs w:val="22"/>
        </w:rPr>
      </w:pPr>
      <w:r w:rsidRPr="00F15C43">
        <w:rPr>
          <w:rFonts w:ascii="Arial" w:hAnsi="Arial" w:cs="Arial"/>
          <w:iCs/>
          <w:sz w:val="22"/>
          <w:szCs w:val="22"/>
        </w:rPr>
        <w:t xml:space="preserve">Negli ultimi cinque anni si è registrato un costante incremento nel numero di giovani italiani che hanno scelto di trasferirsi all’estero, con una dinamica molto meno marcata </w:t>
      </w:r>
      <w:r w:rsidR="00EA3C37">
        <w:rPr>
          <w:rFonts w:ascii="Arial" w:hAnsi="Arial" w:cs="Arial"/>
          <w:iCs/>
          <w:sz w:val="22"/>
          <w:szCs w:val="22"/>
        </w:rPr>
        <w:t xml:space="preserve">per </w:t>
      </w:r>
      <w:r w:rsidRPr="00F15C43">
        <w:rPr>
          <w:rFonts w:ascii="Arial" w:hAnsi="Arial" w:cs="Arial"/>
          <w:iCs/>
          <w:sz w:val="22"/>
          <w:szCs w:val="22"/>
        </w:rPr>
        <w:t>i rientri in patria. A fronte di questa perdita netta di giovani, il contributo dei migranti stranieri risulta fondamentale per attenuare gli effetti d</w:t>
      </w:r>
      <w:r>
        <w:rPr>
          <w:rFonts w:ascii="Arial" w:hAnsi="Arial" w:cs="Arial"/>
          <w:iCs/>
          <w:sz w:val="22"/>
          <w:szCs w:val="22"/>
        </w:rPr>
        <w:t xml:space="preserve">el </w:t>
      </w:r>
      <w:r w:rsidRPr="00F15C43">
        <w:rPr>
          <w:rFonts w:ascii="Arial" w:hAnsi="Arial" w:cs="Arial"/>
          <w:iCs/>
          <w:sz w:val="22"/>
          <w:szCs w:val="22"/>
        </w:rPr>
        <w:t>fenomeno e per offrire una prospettiva più completa sul bilancio migratorio complessivo.</w:t>
      </w:r>
    </w:p>
    <w:p w14:paraId="6E0D7E3A" w14:textId="3D5C0910" w:rsidR="00AE1EAD" w:rsidRPr="005073CF" w:rsidRDefault="00805493" w:rsidP="00AE1EAD">
      <w:pPr>
        <w:spacing w:after="120"/>
        <w:jc w:val="both"/>
        <w:rPr>
          <w:rFonts w:ascii="Arial" w:hAnsi="Arial" w:cs="Arial"/>
          <w:iCs/>
          <w:sz w:val="22"/>
          <w:szCs w:val="22"/>
        </w:rPr>
      </w:pPr>
      <w:r w:rsidRPr="005073CF">
        <w:rPr>
          <w:rFonts w:ascii="Arial" w:hAnsi="Arial" w:cs="Arial"/>
          <w:iCs/>
          <w:sz w:val="22"/>
          <w:szCs w:val="22"/>
        </w:rPr>
        <w:t>Tra il 2019 e il 2023</w:t>
      </w:r>
      <w:r w:rsidR="00140927">
        <w:rPr>
          <w:rStyle w:val="Rimandonotadichiusura"/>
          <w:rFonts w:ascii="Arial" w:hAnsi="Arial" w:cs="Arial"/>
          <w:iCs/>
          <w:sz w:val="22"/>
          <w:szCs w:val="22"/>
        </w:rPr>
        <w:endnoteReference w:id="3"/>
      </w:r>
      <w:r w:rsidRPr="005073CF">
        <w:rPr>
          <w:rFonts w:ascii="Arial" w:hAnsi="Arial" w:cs="Arial"/>
          <w:iCs/>
          <w:sz w:val="22"/>
          <w:szCs w:val="22"/>
        </w:rPr>
        <w:t xml:space="preserve"> </w:t>
      </w:r>
      <w:r>
        <w:rPr>
          <w:rFonts w:ascii="Arial" w:hAnsi="Arial" w:cs="Arial"/>
          <w:iCs/>
          <w:sz w:val="22"/>
          <w:szCs w:val="22"/>
        </w:rPr>
        <w:t xml:space="preserve">sono espatriati dall’Italia 192mila </w:t>
      </w:r>
      <w:r w:rsidRPr="005073CF">
        <w:rPr>
          <w:rFonts w:ascii="Arial" w:hAnsi="Arial" w:cs="Arial"/>
          <w:iCs/>
          <w:sz w:val="22"/>
          <w:szCs w:val="22"/>
        </w:rPr>
        <w:t>italiani</w:t>
      </w:r>
      <w:r>
        <w:rPr>
          <w:rFonts w:ascii="Arial" w:hAnsi="Arial" w:cs="Arial"/>
          <w:iCs/>
          <w:sz w:val="22"/>
          <w:szCs w:val="22"/>
        </w:rPr>
        <w:t xml:space="preserve"> </w:t>
      </w:r>
      <w:r w:rsidR="00AE1EAD" w:rsidRPr="005073CF">
        <w:rPr>
          <w:rFonts w:ascii="Arial" w:hAnsi="Arial" w:cs="Arial"/>
          <w:iCs/>
          <w:sz w:val="22"/>
          <w:szCs w:val="22"/>
        </w:rPr>
        <w:t>di età</w:t>
      </w:r>
      <w:r>
        <w:rPr>
          <w:rFonts w:ascii="Arial" w:hAnsi="Arial" w:cs="Arial"/>
          <w:iCs/>
          <w:sz w:val="22"/>
          <w:szCs w:val="22"/>
        </w:rPr>
        <w:t xml:space="preserve"> compresa tra </w:t>
      </w:r>
      <w:r w:rsidR="00AE1EAD" w:rsidRPr="005073CF">
        <w:rPr>
          <w:rFonts w:ascii="Arial" w:hAnsi="Arial" w:cs="Arial"/>
          <w:iCs/>
          <w:sz w:val="22"/>
          <w:szCs w:val="22"/>
        </w:rPr>
        <w:t>25</w:t>
      </w:r>
      <w:r>
        <w:rPr>
          <w:rFonts w:ascii="Arial" w:hAnsi="Arial" w:cs="Arial"/>
          <w:iCs/>
          <w:sz w:val="22"/>
          <w:szCs w:val="22"/>
        </w:rPr>
        <w:t xml:space="preserve"> e </w:t>
      </w:r>
      <w:r w:rsidR="00AE1EAD" w:rsidRPr="005073CF">
        <w:rPr>
          <w:rFonts w:ascii="Arial" w:hAnsi="Arial" w:cs="Arial"/>
          <w:iCs/>
          <w:sz w:val="22"/>
          <w:szCs w:val="22"/>
        </w:rPr>
        <w:t>34 anni</w:t>
      </w:r>
      <w:r>
        <w:rPr>
          <w:rFonts w:ascii="Arial" w:hAnsi="Arial" w:cs="Arial"/>
          <w:iCs/>
          <w:sz w:val="22"/>
          <w:szCs w:val="22"/>
        </w:rPr>
        <w:t xml:space="preserve"> e ne sono rientrati 73mila, con una </w:t>
      </w:r>
      <w:r w:rsidR="00AE1EAD" w:rsidRPr="005073CF">
        <w:rPr>
          <w:rFonts w:ascii="Arial" w:hAnsi="Arial" w:cs="Arial"/>
          <w:iCs/>
          <w:sz w:val="22"/>
          <w:szCs w:val="22"/>
        </w:rPr>
        <w:t>perdita netta di 119mila giovani</w:t>
      </w:r>
      <w:r>
        <w:rPr>
          <w:rFonts w:ascii="Arial" w:hAnsi="Arial" w:cs="Arial"/>
          <w:iCs/>
          <w:sz w:val="22"/>
          <w:szCs w:val="22"/>
        </w:rPr>
        <w:t xml:space="preserve">. </w:t>
      </w:r>
      <w:r w:rsidR="00176B5D">
        <w:rPr>
          <w:rFonts w:ascii="Arial" w:hAnsi="Arial" w:cs="Arial"/>
          <w:iCs/>
          <w:sz w:val="22"/>
          <w:szCs w:val="22"/>
        </w:rPr>
        <w:t>T</w:t>
      </w:r>
      <w:r w:rsidR="00AE1EAD" w:rsidRPr="005073CF">
        <w:rPr>
          <w:rFonts w:ascii="Arial" w:hAnsi="Arial" w:cs="Arial"/>
          <w:iCs/>
          <w:sz w:val="22"/>
          <w:szCs w:val="22"/>
        </w:rPr>
        <w:t>uttavia, grazie al saldo positivo dei giovani stranieri</w:t>
      </w:r>
      <w:r w:rsidR="00AE1EAD">
        <w:rPr>
          <w:rFonts w:ascii="Arial" w:hAnsi="Arial" w:cs="Arial"/>
          <w:iCs/>
          <w:sz w:val="22"/>
          <w:szCs w:val="22"/>
        </w:rPr>
        <w:t xml:space="preserve"> </w:t>
      </w:r>
      <w:r w:rsidR="00AE1EAD" w:rsidRPr="005073CF">
        <w:rPr>
          <w:rFonts w:ascii="Arial" w:hAnsi="Arial" w:cs="Arial"/>
          <w:iCs/>
          <w:sz w:val="22"/>
          <w:szCs w:val="22"/>
        </w:rPr>
        <w:t>(+348mila),</w:t>
      </w:r>
      <w:r w:rsidRPr="00805493">
        <w:rPr>
          <w:rFonts w:ascii="Arial" w:hAnsi="Arial" w:cs="Arial"/>
          <w:iCs/>
          <w:sz w:val="22"/>
          <w:szCs w:val="22"/>
        </w:rPr>
        <w:t xml:space="preserve"> </w:t>
      </w:r>
      <w:r>
        <w:rPr>
          <w:rFonts w:ascii="Arial" w:hAnsi="Arial" w:cs="Arial"/>
          <w:iCs/>
          <w:sz w:val="22"/>
          <w:szCs w:val="22"/>
        </w:rPr>
        <w:t xml:space="preserve">che </w:t>
      </w:r>
      <w:r w:rsidR="00352901">
        <w:rPr>
          <w:rFonts w:ascii="Arial" w:hAnsi="Arial" w:cs="Arial"/>
          <w:iCs/>
          <w:sz w:val="22"/>
          <w:szCs w:val="22"/>
        </w:rPr>
        <w:t>rappresenta un fattore</w:t>
      </w:r>
      <w:r w:rsidRPr="005073CF">
        <w:rPr>
          <w:rFonts w:ascii="Arial" w:hAnsi="Arial" w:cs="Arial"/>
          <w:iCs/>
          <w:sz w:val="22"/>
          <w:szCs w:val="22"/>
        </w:rPr>
        <w:t xml:space="preserve"> chiave nel contenere gli effetti del declino demografico</w:t>
      </w:r>
      <w:r>
        <w:rPr>
          <w:rFonts w:ascii="Arial" w:hAnsi="Arial" w:cs="Arial"/>
          <w:iCs/>
          <w:sz w:val="22"/>
          <w:szCs w:val="22"/>
        </w:rPr>
        <w:t>,</w:t>
      </w:r>
      <w:r w:rsidR="00AE1EAD" w:rsidRPr="005073CF">
        <w:rPr>
          <w:rFonts w:ascii="Arial" w:hAnsi="Arial" w:cs="Arial"/>
          <w:iCs/>
          <w:sz w:val="22"/>
          <w:szCs w:val="22"/>
        </w:rPr>
        <w:t xml:space="preserve"> il saldo complessivo per questa fascia di età si traduce in un guadagno di popolazione giovane e attiva pari a +229mila unità.</w:t>
      </w:r>
    </w:p>
    <w:p w14:paraId="16B06717" w14:textId="64EA7C39" w:rsidR="00AE1EAD" w:rsidRPr="005073CF" w:rsidRDefault="00AE1EAD" w:rsidP="00AE1EAD">
      <w:pPr>
        <w:spacing w:after="120"/>
        <w:jc w:val="both"/>
        <w:rPr>
          <w:rFonts w:ascii="Arial" w:hAnsi="Arial" w:cs="Arial"/>
          <w:iCs/>
          <w:sz w:val="22"/>
          <w:szCs w:val="22"/>
        </w:rPr>
      </w:pPr>
      <w:r w:rsidRPr="005073CF">
        <w:rPr>
          <w:rFonts w:ascii="Arial" w:hAnsi="Arial" w:cs="Arial"/>
          <w:iCs/>
          <w:sz w:val="22"/>
          <w:szCs w:val="22"/>
        </w:rPr>
        <w:t xml:space="preserve">Un ulteriore aspetto rilevante riguarda il capitale umano. Considerando i migranti </w:t>
      </w:r>
      <w:r w:rsidR="00175535">
        <w:rPr>
          <w:rFonts w:ascii="Arial" w:hAnsi="Arial" w:cs="Arial"/>
          <w:iCs/>
          <w:sz w:val="22"/>
          <w:szCs w:val="22"/>
        </w:rPr>
        <w:t xml:space="preserve">tra 25 e </w:t>
      </w:r>
      <w:r w:rsidR="007010E2">
        <w:rPr>
          <w:rFonts w:ascii="Arial" w:hAnsi="Arial" w:cs="Arial"/>
          <w:iCs/>
          <w:sz w:val="22"/>
          <w:szCs w:val="22"/>
        </w:rPr>
        <w:t>3</w:t>
      </w:r>
      <w:r w:rsidR="000F7789">
        <w:rPr>
          <w:rFonts w:ascii="Arial" w:hAnsi="Arial" w:cs="Arial"/>
          <w:iCs/>
          <w:sz w:val="22"/>
          <w:szCs w:val="22"/>
        </w:rPr>
        <w:t>4</w:t>
      </w:r>
      <w:r w:rsidR="00175535">
        <w:rPr>
          <w:rFonts w:ascii="Arial" w:hAnsi="Arial" w:cs="Arial"/>
          <w:iCs/>
          <w:sz w:val="22"/>
          <w:szCs w:val="22"/>
        </w:rPr>
        <w:t xml:space="preserve"> anni </w:t>
      </w:r>
      <w:r w:rsidRPr="005073CF">
        <w:rPr>
          <w:rFonts w:ascii="Arial" w:hAnsi="Arial" w:cs="Arial"/>
          <w:iCs/>
          <w:sz w:val="22"/>
          <w:szCs w:val="22"/>
        </w:rPr>
        <w:t xml:space="preserve">in possesso di un titolo di studio terziario, </w:t>
      </w:r>
      <w:r>
        <w:rPr>
          <w:rFonts w:ascii="Arial" w:hAnsi="Arial" w:cs="Arial"/>
          <w:iCs/>
          <w:sz w:val="22"/>
          <w:szCs w:val="22"/>
        </w:rPr>
        <w:t>nel</w:t>
      </w:r>
      <w:r w:rsidRPr="005073CF">
        <w:rPr>
          <w:rFonts w:ascii="Arial" w:hAnsi="Arial" w:cs="Arial"/>
          <w:iCs/>
          <w:sz w:val="22"/>
          <w:szCs w:val="22"/>
        </w:rPr>
        <w:t xml:space="preserve"> periodo 2019-23 </w:t>
      </w:r>
      <w:r>
        <w:rPr>
          <w:rFonts w:ascii="Arial" w:hAnsi="Arial" w:cs="Arial"/>
          <w:iCs/>
          <w:sz w:val="22"/>
          <w:szCs w:val="22"/>
        </w:rPr>
        <w:t xml:space="preserve">si </w:t>
      </w:r>
      <w:r w:rsidRPr="005073CF">
        <w:rPr>
          <w:rFonts w:ascii="Arial" w:hAnsi="Arial" w:cs="Arial"/>
          <w:iCs/>
          <w:sz w:val="22"/>
          <w:szCs w:val="22"/>
        </w:rPr>
        <w:t>registra una perdita netta di giovani laureati italiani pari a 58mila</w:t>
      </w:r>
      <w:r w:rsidR="00175535">
        <w:rPr>
          <w:rFonts w:ascii="Arial" w:hAnsi="Arial" w:cs="Arial"/>
          <w:iCs/>
          <w:sz w:val="22"/>
          <w:szCs w:val="22"/>
        </w:rPr>
        <w:t xml:space="preserve"> unità</w:t>
      </w:r>
      <w:r w:rsidR="00B86F6C">
        <w:rPr>
          <w:rFonts w:ascii="Arial" w:hAnsi="Arial" w:cs="Arial"/>
          <w:iCs/>
          <w:sz w:val="22"/>
          <w:szCs w:val="22"/>
        </w:rPr>
        <w:t xml:space="preserve"> (Figura 6)</w:t>
      </w:r>
      <w:r w:rsidRPr="005073CF">
        <w:rPr>
          <w:rFonts w:ascii="Arial" w:hAnsi="Arial" w:cs="Arial"/>
          <w:iCs/>
          <w:sz w:val="22"/>
          <w:szCs w:val="22"/>
        </w:rPr>
        <w:t xml:space="preserve">. Tale perdita è </w:t>
      </w:r>
      <w:r w:rsidR="00176B5D">
        <w:rPr>
          <w:rFonts w:ascii="Arial" w:hAnsi="Arial" w:cs="Arial"/>
          <w:iCs/>
          <w:sz w:val="22"/>
          <w:szCs w:val="22"/>
        </w:rPr>
        <w:t>anch’essa</w:t>
      </w:r>
      <w:r w:rsidRPr="005073CF">
        <w:rPr>
          <w:rFonts w:ascii="Arial" w:hAnsi="Arial" w:cs="Arial"/>
          <w:iCs/>
          <w:sz w:val="22"/>
          <w:szCs w:val="22"/>
        </w:rPr>
        <w:t xml:space="preserve"> compensata da un </w:t>
      </w:r>
      <w:r>
        <w:rPr>
          <w:rFonts w:ascii="Arial" w:hAnsi="Arial" w:cs="Arial"/>
          <w:iCs/>
          <w:sz w:val="22"/>
          <w:szCs w:val="22"/>
        </w:rPr>
        <w:t>incremento</w:t>
      </w:r>
      <w:r w:rsidRPr="005073CF">
        <w:rPr>
          <w:rFonts w:ascii="Arial" w:hAnsi="Arial" w:cs="Arial"/>
          <w:iCs/>
          <w:sz w:val="22"/>
          <w:szCs w:val="22"/>
        </w:rPr>
        <w:t xml:space="preserve"> netto di giovani laureati stranieri (+68mila), </w:t>
      </w:r>
      <w:r>
        <w:rPr>
          <w:rFonts w:ascii="Arial" w:hAnsi="Arial" w:cs="Arial"/>
          <w:iCs/>
          <w:sz w:val="22"/>
          <w:szCs w:val="22"/>
        </w:rPr>
        <w:t xml:space="preserve">che </w:t>
      </w:r>
      <w:r w:rsidRPr="005073CF">
        <w:rPr>
          <w:rFonts w:ascii="Arial" w:hAnsi="Arial" w:cs="Arial"/>
          <w:iCs/>
          <w:sz w:val="22"/>
          <w:szCs w:val="22"/>
        </w:rPr>
        <w:t>porta</w:t>
      </w:r>
      <w:r>
        <w:rPr>
          <w:rFonts w:ascii="Arial" w:hAnsi="Arial" w:cs="Arial"/>
          <w:iCs/>
          <w:sz w:val="22"/>
          <w:szCs w:val="22"/>
        </w:rPr>
        <w:t xml:space="preserve"> </w:t>
      </w:r>
      <w:r w:rsidRPr="005073CF">
        <w:rPr>
          <w:rFonts w:ascii="Arial" w:hAnsi="Arial" w:cs="Arial"/>
          <w:iCs/>
          <w:sz w:val="22"/>
          <w:szCs w:val="22"/>
        </w:rPr>
        <w:t xml:space="preserve">il saldo complessivo a un guadagno di capitale umano </w:t>
      </w:r>
      <w:r w:rsidR="00C23107">
        <w:rPr>
          <w:rFonts w:ascii="Arial" w:hAnsi="Arial" w:cs="Arial"/>
          <w:iCs/>
          <w:sz w:val="22"/>
          <w:szCs w:val="22"/>
        </w:rPr>
        <w:t xml:space="preserve">qualificato </w:t>
      </w:r>
      <w:r w:rsidRPr="005073CF">
        <w:rPr>
          <w:rFonts w:ascii="Arial" w:hAnsi="Arial" w:cs="Arial"/>
          <w:iCs/>
          <w:sz w:val="22"/>
          <w:szCs w:val="22"/>
        </w:rPr>
        <w:t>pari a +10mila unità.</w:t>
      </w:r>
      <w:r>
        <w:rPr>
          <w:rFonts w:ascii="Arial" w:hAnsi="Arial" w:cs="Arial"/>
          <w:iCs/>
          <w:sz w:val="22"/>
          <w:szCs w:val="22"/>
        </w:rPr>
        <w:t xml:space="preserve"> I risultati, seppur con qualche limite</w:t>
      </w:r>
      <w:r w:rsidR="00531767">
        <w:rPr>
          <w:rFonts w:ascii="Arial" w:hAnsi="Arial" w:cs="Arial"/>
          <w:iCs/>
          <w:sz w:val="22"/>
          <w:szCs w:val="22"/>
        </w:rPr>
        <w:t xml:space="preserve"> informativo</w:t>
      </w:r>
      <w:r w:rsidR="006A245B">
        <w:rPr>
          <w:rStyle w:val="Rimandonotadichiusura"/>
          <w:rFonts w:ascii="Arial" w:hAnsi="Arial" w:cs="Arial"/>
          <w:iCs/>
          <w:sz w:val="22"/>
          <w:szCs w:val="22"/>
        </w:rPr>
        <w:endnoteReference w:id="4"/>
      </w:r>
      <w:r>
        <w:rPr>
          <w:rFonts w:ascii="Arial" w:hAnsi="Arial" w:cs="Arial"/>
          <w:iCs/>
          <w:sz w:val="22"/>
          <w:szCs w:val="22"/>
        </w:rPr>
        <w:t xml:space="preserve">, </w:t>
      </w:r>
      <w:r w:rsidR="00503718">
        <w:rPr>
          <w:rFonts w:ascii="Arial" w:hAnsi="Arial" w:cs="Arial"/>
          <w:iCs/>
          <w:sz w:val="22"/>
          <w:szCs w:val="22"/>
        </w:rPr>
        <w:t xml:space="preserve">offrono una misura </w:t>
      </w:r>
      <w:r w:rsidRPr="005073CF">
        <w:rPr>
          <w:rFonts w:ascii="Arial" w:hAnsi="Arial" w:cs="Arial"/>
          <w:iCs/>
          <w:sz w:val="22"/>
          <w:szCs w:val="22"/>
        </w:rPr>
        <w:t xml:space="preserve">del contributo dei flussi migratori stranieri nel bilanciare non solo le perdite demografiche ma anche quelle </w:t>
      </w:r>
      <w:r>
        <w:rPr>
          <w:rFonts w:ascii="Arial" w:hAnsi="Arial" w:cs="Arial"/>
          <w:iCs/>
          <w:sz w:val="22"/>
          <w:szCs w:val="22"/>
        </w:rPr>
        <w:t>di</w:t>
      </w:r>
      <w:r w:rsidRPr="005073CF">
        <w:rPr>
          <w:rFonts w:ascii="Arial" w:hAnsi="Arial" w:cs="Arial"/>
          <w:iCs/>
          <w:sz w:val="22"/>
          <w:szCs w:val="22"/>
        </w:rPr>
        <w:t xml:space="preserve"> capitale umano qualificato.</w:t>
      </w:r>
    </w:p>
    <w:p w14:paraId="3FC14E09" w14:textId="5CFAB2A6" w:rsidR="000279D5" w:rsidRPr="000279D5" w:rsidRDefault="000279D5" w:rsidP="000279D5">
      <w:pPr>
        <w:spacing w:after="120"/>
        <w:jc w:val="both"/>
        <w:rPr>
          <w:rFonts w:ascii="Arial" w:hAnsi="Arial" w:cs="Arial"/>
          <w:iCs/>
          <w:sz w:val="22"/>
          <w:szCs w:val="22"/>
        </w:rPr>
      </w:pPr>
      <w:r w:rsidRPr="000279D5">
        <w:rPr>
          <w:rFonts w:ascii="Arial" w:hAnsi="Arial" w:cs="Arial"/>
          <w:iCs/>
          <w:sz w:val="22"/>
          <w:szCs w:val="22"/>
        </w:rPr>
        <w:t>I giovani laureati italiani scelgono principalmente i Paesi europei come destinazione privilegiata per espatriare. Nel quinquennio 2019-23, Regno Unito e Germania</w:t>
      </w:r>
      <w:r>
        <w:rPr>
          <w:rFonts w:ascii="Arial" w:hAnsi="Arial" w:cs="Arial"/>
          <w:iCs/>
          <w:sz w:val="22"/>
          <w:szCs w:val="22"/>
        </w:rPr>
        <w:t xml:space="preserve"> ne</w:t>
      </w:r>
      <w:r w:rsidRPr="000279D5">
        <w:rPr>
          <w:rFonts w:ascii="Arial" w:hAnsi="Arial" w:cs="Arial"/>
          <w:iCs/>
          <w:sz w:val="22"/>
          <w:szCs w:val="22"/>
        </w:rPr>
        <w:t xml:space="preserve"> hanno accolt</w:t>
      </w:r>
      <w:r>
        <w:rPr>
          <w:rFonts w:ascii="Arial" w:hAnsi="Arial" w:cs="Arial"/>
          <w:iCs/>
          <w:sz w:val="22"/>
          <w:szCs w:val="22"/>
        </w:rPr>
        <w:t>i</w:t>
      </w:r>
      <w:r w:rsidRPr="000279D5">
        <w:rPr>
          <w:rFonts w:ascii="Arial" w:hAnsi="Arial" w:cs="Arial"/>
          <w:iCs/>
          <w:sz w:val="22"/>
          <w:szCs w:val="22"/>
        </w:rPr>
        <w:t xml:space="preserve"> complessivamente un terzo (29mila), seguite da Francia e Svizzera, che ne hanno attratti ciascuna 8mila. Tra le destinazioni extraeuropee, gli Stati Uniti si collocano al primo posto, con 4mila giovani laureati italiani trasferiti nello stesso periodo.</w:t>
      </w:r>
    </w:p>
    <w:p w14:paraId="0B9D428D" w14:textId="0097C54F" w:rsidR="00690322" w:rsidRDefault="000279D5" w:rsidP="000279D5">
      <w:pPr>
        <w:spacing w:after="120"/>
        <w:jc w:val="both"/>
        <w:rPr>
          <w:rFonts w:ascii="Arial" w:hAnsi="Arial" w:cs="Arial"/>
          <w:iCs/>
          <w:sz w:val="22"/>
          <w:szCs w:val="22"/>
        </w:rPr>
      </w:pPr>
      <w:r w:rsidRPr="000279D5">
        <w:rPr>
          <w:rFonts w:ascii="Arial" w:hAnsi="Arial" w:cs="Arial"/>
          <w:iCs/>
          <w:sz w:val="22"/>
          <w:szCs w:val="22"/>
        </w:rPr>
        <w:t xml:space="preserve">Per quanto riguarda i giovani immigrati stranieri laureati che arrivano in Italia, </w:t>
      </w:r>
      <w:r w:rsidR="00141AB5" w:rsidRPr="000279D5">
        <w:rPr>
          <w:rFonts w:ascii="Arial" w:hAnsi="Arial" w:cs="Arial"/>
          <w:iCs/>
          <w:sz w:val="22"/>
          <w:szCs w:val="22"/>
        </w:rPr>
        <w:t xml:space="preserve">il 13,6% </w:t>
      </w:r>
      <w:r w:rsidR="00141AB5">
        <w:rPr>
          <w:rFonts w:ascii="Arial" w:hAnsi="Arial" w:cs="Arial"/>
          <w:iCs/>
          <w:sz w:val="22"/>
          <w:szCs w:val="22"/>
        </w:rPr>
        <w:t xml:space="preserve">proviene </w:t>
      </w:r>
      <w:r w:rsidR="00141AB5" w:rsidRPr="000279D5">
        <w:rPr>
          <w:rFonts w:ascii="Arial" w:hAnsi="Arial" w:cs="Arial"/>
          <w:iCs/>
          <w:sz w:val="22"/>
          <w:szCs w:val="22"/>
        </w:rPr>
        <w:t>da Stati membri dell’Unione Europea</w:t>
      </w:r>
      <w:r w:rsidR="00141AB5">
        <w:rPr>
          <w:rFonts w:ascii="Arial" w:hAnsi="Arial" w:cs="Arial"/>
          <w:iCs/>
          <w:sz w:val="22"/>
          <w:szCs w:val="22"/>
        </w:rPr>
        <w:t xml:space="preserve">, </w:t>
      </w:r>
      <w:r w:rsidR="000F7789">
        <w:rPr>
          <w:rFonts w:ascii="Arial" w:hAnsi="Arial" w:cs="Arial"/>
          <w:iCs/>
          <w:sz w:val="22"/>
          <w:szCs w:val="22"/>
        </w:rPr>
        <w:t xml:space="preserve">il </w:t>
      </w:r>
      <w:r w:rsidR="00141AB5">
        <w:rPr>
          <w:rFonts w:ascii="Arial" w:hAnsi="Arial" w:cs="Arial"/>
          <w:iCs/>
          <w:sz w:val="22"/>
          <w:szCs w:val="22"/>
        </w:rPr>
        <w:t>15,8</w:t>
      </w:r>
      <w:r w:rsidR="000F7789">
        <w:rPr>
          <w:rFonts w:ascii="Arial" w:hAnsi="Arial" w:cs="Arial"/>
          <w:iCs/>
          <w:sz w:val="22"/>
          <w:szCs w:val="22"/>
        </w:rPr>
        <w:t>%</w:t>
      </w:r>
      <w:r w:rsidRPr="000279D5">
        <w:rPr>
          <w:rFonts w:ascii="Arial" w:hAnsi="Arial" w:cs="Arial"/>
          <w:iCs/>
          <w:sz w:val="22"/>
          <w:szCs w:val="22"/>
        </w:rPr>
        <w:t xml:space="preserve"> da </w:t>
      </w:r>
      <w:r w:rsidR="00141AB5">
        <w:rPr>
          <w:rFonts w:ascii="Arial" w:hAnsi="Arial" w:cs="Arial"/>
          <w:iCs/>
          <w:sz w:val="22"/>
          <w:szCs w:val="22"/>
        </w:rPr>
        <w:t xml:space="preserve">altri </w:t>
      </w:r>
      <w:r w:rsidRPr="000279D5">
        <w:rPr>
          <w:rFonts w:ascii="Arial" w:hAnsi="Arial" w:cs="Arial"/>
          <w:iCs/>
          <w:sz w:val="22"/>
          <w:szCs w:val="22"/>
        </w:rPr>
        <w:t xml:space="preserve">Paesi </w:t>
      </w:r>
      <w:r w:rsidR="000C6FC4" w:rsidRPr="000279D5">
        <w:rPr>
          <w:rFonts w:ascii="Arial" w:hAnsi="Arial" w:cs="Arial"/>
          <w:iCs/>
          <w:sz w:val="22"/>
          <w:szCs w:val="22"/>
        </w:rPr>
        <w:t>europei</w:t>
      </w:r>
      <w:r>
        <w:rPr>
          <w:rFonts w:ascii="Arial" w:hAnsi="Arial" w:cs="Arial"/>
          <w:iCs/>
          <w:sz w:val="22"/>
          <w:szCs w:val="22"/>
        </w:rPr>
        <w:t>, u</w:t>
      </w:r>
      <w:r w:rsidRPr="000279D5">
        <w:rPr>
          <w:rFonts w:ascii="Arial" w:hAnsi="Arial" w:cs="Arial"/>
          <w:iCs/>
          <w:sz w:val="22"/>
          <w:szCs w:val="22"/>
        </w:rPr>
        <w:t>n terzo dall’Asia, mentre il 17,8% da Paesi del Sud America.</w:t>
      </w:r>
    </w:p>
    <w:p w14:paraId="74DBC517" w14:textId="6630FE02" w:rsidR="00690322" w:rsidRDefault="00690322" w:rsidP="00C32E69">
      <w:pPr>
        <w:spacing w:after="120"/>
        <w:jc w:val="both"/>
        <w:rPr>
          <w:rFonts w:ascii="Arial" w:hAnsi="Arial" w:cs="Arial"/>
          <w:iCs/>
          <w:sz w:val="22"/>
          <w:szCs w:val="22"/>
        </w:rPr>
      </w:pPr>
    </w:p>
    <w:p w14:paraId="008D8BF7" w14:textId="2889E1FF" w:rsidR="00E3301C" w:rsidRDefault="00E3301C" w:rsidP="00C32E69">
      <w:pPr>
        <w:spacing w:after="120"/>
        <w:jc w:val="both"/>
        <w:rPr>
          <w:rFonts w:ascii="Arial" w:hAnsi="Arial" w:cs="Arial"/>
          <w:iCs/>
          <w:sz w:val="22"/>
          <w:szCs w:val="22"/>
        </w:rPr>
      </w:pPr>
    </w:p>
    <w:p w14:paraId="4CAFB25A" w14:textId="77777777" w:rsidR="00E3301C" w:rsidRDefault="00E3301C" w:rsidP="00C32E69">
      <w:pPr>
        <w:spacing w:after="120"/>
        <w:jc w:val="both"/>
        <w:rPr>
          <w:rFonts w:ascii="Arial" w:hAnsi="Arial" w:cs="Arial"/>
          <w:iCs/>
          <w:sz w:val="22"/>
          <w:szCs w:val="22"/>
        </w:rPr>
      </w:pPr>
    </w:p>
    <w:p w14:paraId="7DB8B963" w14:textId="07982619" w:rsidR="00805493" w:rsidRDefault="00805493" w:rsidP="00FD67EA">
      <w:pPr>
        <w:jc w:val="both"/>
        <w:rPr>
          <w:rFonts w:ascii="Arial" w:hAnsi="Arial" w:cs="Arial"/>
          <w:iCs/>
          <w:sz w:val="22"/>
          <w:szCs w:val="22"/>
        </w:rPr>
      </w:pPr>
    </w:p>
    <w:p w14:paraId="72FA4D4B" w14:textId="77777777" w:rsidR="00FD67EA" w:rsidRPr="00FD67EA" w:rsidRDefault="00FD67EA" w:rsidP="00FD67EA">
      <w:pPr>
        <w:jc w:val="both"/>
        <w:rPr>
          <w:rFonts w:ascii="Arial" w:hAnsi="Arial" w:cs="Arial"/>
          <w:iCs/>
          <w:sz w:val="36"/>
          <w:szCs w:val="22"/>
        </w:rPr>
      </w:pPr>
    </w:p>
    <w:p w14:paraId="52526BDB" w14:textId="18EF9ECF" w:rsidR="00F15C43" w:rsidRDefault="00C640E1" w:rsidP="00C32E69">
      <w:pPr>
        <w:spacing w:after="120"/>
        <w:jc w:val="both"/>
        <w:rPr>
          <w:rFonts w:ascii="Arial Narrow" w:hAnsi="Arial Narrow" w:cs="Arial"/>
          <w:iCs/>
          <w:noProof/>
          <w:color w:val="1F497D" w:themeColor="text2"/>
          <w:sz w:val="22"/>
          <w:szCs w:val="22"/>
        </w:rPr>
      </w:pPr>
      <w:r w:rsidRPr="000B79A4">
        <w:rPr>
          <w:rFonts w:ascii="Arial Black" w:hAnsi="Arial Black" w:cs="Arial"/>
          <w:iCs/>
          <w:noProof/>
          <w:color w:val="1F497D" w:themeColor="text2"/>
          <w:sz w:val="22"/>
          <w:szCs w:val="22"/>
        </w:rPr>
        <w:t xml:space="preserve">FIGURA </w:t>
      </w:r>
      <w:r w:rsidR="00517E90">
        <w:rPr>
          <w:rFonts w:ascii="Arial Black" w:hAnsi="Arial Black" w:cs="Arial"/>
          <w:iCs/>
          <w:noProof/>
          <w:color w:val="1F497D" w:themeColor="text2"/>
          <w:sz w:val="22"/>
          <w:szCs w:val="22"/>
        </w:rPr>
        <w:t>6</w:t>
      </w:r>
      <w:r w:rsidRPr="000B79A4">
        <w:rPr>
          <w:rFonts w:ascii="Arial Black" w:hAnsi="Arial Black" w:cs="Arial"/>
          <w:iCs/>
          <w:noProof/>
          <w:color w:val="1F497D" w:themeColor="text2"/>
          <w:sz w:val="22"/>
          <w:szCs w:val="22"/>
        </w:rPr>
        <w:t>.</w:t>
      </w:r>
      <w:r w:rsidR="009F2B26" w:rsidRPr="009F2B26">
        <w:rPr>
          <w:rFonts w:ascii="Arial Narrow" w:hAnsi="Arial Narrow" w:cs="Arial"/>
          <w:b/>
          <w:iCs/>
          <w:noProof/>
          <w:color w:val="1F497D" w:themeColor="text2"/>
          <w:sz w:val="22"/>
          <w:szCs w:val="22"/>
        </w:rPr>
        <w:t xml:space="preserve"> </w:t>
      </w:r>
      <w:r w:rsidR="009F2B26">
        <w:rPr>
          <w:rFonts w:ascii="Arial Narrow" w:hAnsi="Arial Narrow" w:cs="Arial"/>
          <w:b/>
          <w:iCs/>
          <w:noProof/>
          <w:color w:val="1F497D" w:themeColor="text2"/>
          <w:sz w:val="22"/>
          <w:szCs w:val="22"/>
        </w:rPr>
        <w:t>MOVIMENTI MIGRATORI CON L’ESTERO DEI</w:t>
      </w:r>
      <w:r w:rsidR="009F2B26" w:rsidRPr="009F2B26">
        <w:rPr>
          <w:rFonts w:ascii="Arial Narrow" w:hAnsi="Arial Narrow" w:cs="Arial"/>
          <w:b/>
          <w:iCs/>
          <w:noProof/>
          <w:color w:val="1F497D" w:themeColor="text2"/>
          <w:sz w:val="22"/>
          <w:szCs w:val="22"/>
        </w:rPr>
        <w:t xml:space="preserve"> LAUREATI</w:t>
      </w:r>
      <w:r w:rsidR="003A00B2">
        <w:rPr>
          <w:rFonts w:ascii="Arial Narrow" w:hAnsi="Arial Narrow" w:cs="Arial"/>
          <w:b/>
          <w:iCs/>
          <w:noProof/>
          <w:color w:val="1F497D" w:themeColor="text2"/>
          <w:sz w:val="22"/>
          <w:szCs w:val="22"/>
        </w:rPr>
        <w:t xml:space="preserve"> </w:t>
      </w:r>
      <w:r w:rsidR="009F2B26" w:rsidRPr="009F2B26">
        <w:rPr>
          <w:rFonts w:ascii="Arial Narrow" w:hAnsi="Arial Narrow" w:cs="Arial"/>
          <w:b/>
          <w:iCs/>
          <w:noProof/>
          <w:color w:val="1F497D" w:themeColor="text2"/>
          <w:sz w:val="22"/>
          <w:szCs w:val="22"/>
        </w:rPr>
        <w:t>DI 25-34 ANNI</w:t>
      </w:r>
      <w:r w:rsidR="003A00B2">
        <w:rPr>
          <w:rFonts w:ascii="Arial Narrow" w:hAnsi="Arial Narrow" w:cs="Arial"/>
          <w:b/>
          <w:iCs/>
          <w:noProof/>
          <w:color w:val="1F497D" w:themeColor="text2"/>
          <w:sz w:val="22"/>
          <w:szCs w:val="22"/>
        </w:rPr>
        <w:t xml:space="preserve"> PER CITTADINANZA (ITALIANA/STRANIERA)</w:t>
      </w:r>
      <w:r w:rsidR="009F2B26" w:rsidRPr="009F2B26">
        <w:rPr>
          <w:rFonts w:ascii="Arial Narrow" w:hAnsi="Arial Narrow" w:cs="Arial"/>
          <w:b/>
          <w:iCs/>
          <w:noProof/>
          <w:color w:val="1F497D" w:themeColor="text2"/>
          <w:sz w:val="22"/>
          <w:szCs w:val="22"/>
        </w:rPr>
        <w:t xml:space="preserve">. </w:t>
      </w:r>
      <w:r w:rsidR="009F2B26" w:rsidRPr="00E90572">
        <w:rPr>
          <w:rFonts w:ascii="Arial Narrow" w:hAnsi="Arial Narrow" w:cs="Arial"/>
          <w:iCs/>
          <w:noProof/>
          <w:color w:val="1F497D" w:themeColor="text2"/>
          <w:sz w:val="22"/>
          <w:szCs w:val="22"/>
        </w:rPr>
        <w:t>Anni 2019-202</w:t>
      </w:r>
      <w:r w:rsidR="009727BA" w:rsidRPr="00E90572">
        <w:rPr>
          <w:rFonts w:ascii="Arial Narrow" w:hAnsi="Arial Narrow" w:cs="Arial"/>
          <w:iCs/>
          <w:noProof/>
          <w:color w:val="1F497D" w:themeColor="text2"/>
          <w:sz w:val="22"/>
          <w:szCs w:val="22"/>
        </w:rPr>
        <w:t>3</w:t>
      </w:r>
      <w:r w:rsidR="009F2B26" w:rsidRPr="00E90572">
        <w:rPr>
          <w:rFonts w:ascii="Arial Narrow" w:hAnsi="Arial Narrow" w:cs="Arial"/>
          <w:iCs/>
          <w:noProof/>
          <w:color w:val="1F497D" w:themeColor="text2"/>
          <w:sz w:val="22"/>
          <w:szCs w:val="22"/>
        </w:rPr>
        <w:t>,</w:t>
      </w:r>
      <w:r w:rsidR="009F2B26" w:rsidRPr="009F2B26">
        <w:rPr>
          <w:rFonts w:ascii="Arial Narrow" w:hAnsi="Arial Narrow" w:cs="Arial"/>
          <w:b/>
          <w:iCs/>
          <w:noProof/>
          <w:color w:val="1F497D" w:themeColor="text2"/>
          <w:sz w:val="22"/>
          <w:szCs w:val="22"/>
        </w:rPr>
        <w:t xml:space="preserve"> </w:t>
      </w:r>
      <w:r w:rsidR="009F2B26" w:rsidRPr="0060721E">
        <w:rPr>
          <w:rFonts w:ascii="Arial Narrow" w:hAnsi="Arial Narrow" w:cs="Arial"/>
          <w:bCs/>
          <w:iCs/>
          <w:noProof/>
          <w:color w:val="1F497D" w:themeColor="text2"/>
          <w:sz w:val="22"/>
          <w:szCs w:val="22"/>
        </w:rPr>
        <w:t>valori assoluti in migliaia e incidenza percentuale</w:t>
      </w:r>
      <w:r w:rsidRPr="000B79A4">
        <w:rPr>
          <w:rFonts w:ascii="Arial Narrow" w:hAnsi="Arial Narrow" w:cs="Arial"/>
          <w:b/>
          <w:iCs/>
          <w:noProof/>
          <w:color w:val="1F497D" w:themeColor="text2"/>
          <w:sz w:val="22"/>
          <w:szCs w:val="22"/>
        </w:rPr>
        <w:t>.</w:t>
      </w:r>
    </w:p>
    <w:p w14:paraId="0FE68D4F" w14:textId="0420D9F7" w:rsidR="00E3301C" w:rsidRDefault="002A606D" w:rsidP="00F42FCE">
      <w:pPr>
        <w:jc w:val="both"/>
        <w:rPr>
          <w:rFonts w:ascii="Arial Narrow" w:hAnsi="Arial Narrow" w:cs="Arial"/>
          <w:iCs/>
          <w:noProof/>
          <w:color w:val="1F497D" w:themeColor="text2"/>
          <w:sz w:val="22"/>
          <w:szCs w:val="22"/>
        </w:rPr>
      </w:pPr>
      <w:r w:rsidRPr="00C5568E">
        <w:rPr>
          <w:rFonts w:ascii="Arial" w:hAnsi="Arial" w:cs="Arial"/>
          <w:iCs/>
          <w:noProof/>
          <w:sz w:val="22"/>
          <w:szCs w:val="22"/>
        </w:rPr>
        <mc:AlternateContent>
          <mc:Choice Requires="wps">
            <w:drawing>
              <wp:anchor distT="45720" distB="45720" distL="114300" distR="114300" simplePos="0" relativeHeight="251693056" behindDoc="0" locked="0" layoutInCell="1" allowOverlap="1" wp14:anchorId="2E13E2B4" wp14:editId="40FD4E0F">
                <wp:simplePos x="0" y="0"/>
                <wp:positionH relativeFrom="column">
                  <wp:posOffset>4362844</wp:posOffset>
                </wp:positionH>
                <wp:positionV relativeFrom="paragraph">
                  <wp:posOffset>11310</wp:posOffset>
                </wp:positionV>
                <wp:extent cx="1316990" cy="219919"/>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19919"/>
                        </a:xfrm>
                        <a:prstGeom prst="rect">
                          <a:avLst/>
                        </a:prstGeom>
                        <a:noFill/>
                        <a:ln w="9525">
                          <a:noFill/>
                          <a:miter lim="800000"/>
                          <a:headEnd/>
                          <a:tailEnd/>
                        </a:ln>
                      </wps:spPr>
                      <wps:txbx>
                        <w:txbxContent>
                          <w:p w14:paraId="708A9A57" w14:textId="2A96AA96" w:rsidR="00C23107" w:rsidRPr="00C5568E" w:rsidRDefault="00C23107" w:rsidP="00C5568E">
                            <w:pPr>
                              <w:rPr>
                                <w:rFonts w:ascii="Arial Narrow" w:hAnsi="Arial Narrow"/>
                                <w:b/>
                                <w:sz w:val="16"/>
                                <w:szCs w:val="16"/>
                              </w:rPr>
                            </w:pPr>
                            <w:r w:rsidRPr="00E90572">
                              <w:rPr>
                                <w:rFonts w:ascii="Arial Narrow" w:hAnsi="Arial Narrow"/>
                                <w:b/>
                                <w:sz w:val="14"/>
                                <w:szCs w:val="16"/>
                              </w:rPr>
                              <w:t>STRANIERI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13E2B4" id="_x0000_s1028" type="#_x0000_t202" style="position:absolute;left:0;text-align:left;margin-left:343.55pt;margin-top:.9pt;width:103.7pt;height:1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" filled="f" stroked="f">
                <v:textbox>
                  <w:txbxContent>
                    <w:p w14:paraId="708A9A57" w14:textId="2A96AA96" w:rsidR="00C23107" w:rsidRPr="00C5568E" w:rsidRDefault="00C23107" w:rsidP="00C5568E">
                      <w:pPr>
                        <w:rPr>
                          <w:rFonts w:ascii="Arial Narrow" w:hAnsi="Arial Narrow"/>
                          <w:b/>
                          <w:sz w:val="16"/>
                          <w:szCs w:val="16"/>
                        </w:rPr>
                      </w:pPr>
                      <w:r w:rsidRPr="00E90572">
                        <w:rPr>
                          <w:rFonts w:ascii="Arial Narrow" w:hAnsi="Arial Narrow"/>
                          <w:b/>
                          <w:sz w:val="14"/>
                          <w:szCs w:val="16"/>
                        </w:rPr>
                        <w:t>STRANIERI</w:t>
                      </w:r>
                    </w:p>
                  </w:txbxContent>
                </v:textbox>
              </v:shape>
            </w:pict>
          </mc:Fallback>
        </mc:AlternateContent>
      </w:r>
      <w:r w:rsidRPr="00C5568E">
        <w:rPr>
          <w:rFonts w:ascii="Arial" w:hAnsi="Arial" w:cs="Arial"/>
          <w:iCs/>
          <w:noProof/>
          <w:sz w:val="22"/>
          <w:szCs w:val="22"/>
        </w:rPr>
        <mc:AlternateContent>
          <mc:Choice Requires="wps">
            <w:drawing>
              <wp:anchor distT="45720" distB="45720" distL="114300" distR="114300" simplePos="0" relativeHeight="251691008" behindDoc="0" locked="0" layoutInCell="1" allowOverlap="1" wp14:anchorId="5C61F2F2" wp14:editId="440BC747">
                <wp:simplePos x="0" y="0"/>
                <wp:positionH relativeFrom="column">
                  <wp:posOffset>1030645</wp:posOffset>
                </wp:positionH>
                <wp:positionV relativeFrom="paragraph">
                  <wp:posOffset>9405</wp:posOffset>
                </wp:positionV>
                <wp:extent cx="1316990" cy="219919"/>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19919"/>
                        </a:xfrm>
                        <a:prstGeom prst="rect">
                          <a:avLst/>
                        </a:prstGeom>
                        <a:noFill/>
                        <a:ln w="9525">
                          <a:noFill/>
                          <a:miter lim="800000"/>
                          <a:headEnd/>
                          <a:tailEnd/>
                        </a:ln>
                      </wps:spPr>
                      <wps:txbx>
                        <w:txbxContent>
                          <w:p w14:paraId="6AFAFA31" w14:textId="78F46DF8" w:rsidR="00C23107" w:rsidRPr="00E90572" w:rsidRDefault="00C23107">
                            <w:pPr>
                              <w:rPr>
                                <w:rFonts w:ascii="Arial Narrow" w:hAnsi="Arial Narrow"/>
                                <w:b/>
                                <w:sz w:val="14"/>
                                <w:szCs w:val="16"/>
                              </w:rPr>
                            </w:pPr>
                            <w:r w:rsidRPr="00E90572">
                              <w:rPr>
                                <w:rFonts w:ascii="Arial Narrow" w:hAnsi="Arial Narrow"/>
                                <w:b/>
                                <w:sz w:val="14"/>
                                <w:szCs w:val="16"/>
                              </w:rPr>
                              <w:t>ITALIANI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61F2F2" id="_x0000_s1029" type="#_x0000_t202" style="position:absolute;left:0;text-align:left;margin-left:81.15pt;margin-top:.75pt;width:103.7pt;height:17.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" filled="f" stroked="f">
                <v:textbox>
                  <w:txbxContent>
                    <w:p w14:paraId="6AFAFA31" w14:textId="78F46DF8" w:rsidR="00C23107" w:rsidRPr="00E90572" w:rsidRDefault="00C23107">
                      <w:pPr>
                        <w:rPr>
                          <w:rFonts w:ascii="Arial Narrow" w:hAnsi="Arial Narrow"/>
                          <w:b/>
                          <w:sz w:val="14"/>
                          <w:szCs w:val="16"/>
                        </w:rPr>
                      </w:pPr>
                      <w:r w:rsidRPr="00E90572">
                        <w:rPr>
                          <w:rFonts w:ascii="Arial Narrow" w:hAnsi="Arial Narrow"/>
                          <w:b/>
                          <w:sz w:val="14"/>
                          <w:szCs w:val="16"/>
                        </w:rPr>
                        <w:t>ITALIANI</w:t>
                      </w:r>
                    </w:p>
                  </w:txbxContent>
                </v:textbox>
              </v:shape>
            </w:pict>
          </mc:Fallback>
        </mc:AlternateContent>
      </w:r>
    </w:p>
    <w:p w14:paraId="4C3C0248" w14:textId="57203013" w:rsidR="00E3301C" w:rsidRDefault="002A606D" w:rsidP="00805493">
      <w:pPr>
        <w:spacing w:after="120"/>
        <w:jc w:val="both"/>
        <w:outlineLvl w:val="0"/>
        <w:rPr>
          <w:rFonts w:ascii="Arial" w:hAnsi="Arial" w:cs="Arial"/>
          <w:b/>
          <w:iCs/>
          <w:color w:val="1F497D" w:themeColor="text2"/>
          <w:sz w:val="26"/>
          <w:szCs w:val="26"/>
        </w:rPr>
      </w:pPr>
      <w:r>
        <w:rPr>
          <w:noProof/>
        </w:rPr>
        <w:drawing>
          <wp:anchor distT="0" distB="0" distL="114300" distR="114300" simplePos="0" relativeHeight="251696128" behindDoc="0" locked="0" layoutInCell="1" allowOverlap="1" wp14:anchorId="05029EB9" wp14:editId="7DF638E7">
            <wp:simplePos x="0" y="0"/>
            <wp:positionH relativeFrom="column">
              <wp:posOffset>635</wp:posOffset>
            </wp:positionH>
            <wp:positionV relativeFrom="paragraph">
              <wp:posOffset>19155</wp:posOffset>
            </wp:positionV>
            <wp:extent cx="6300470" cy="173990"/>
            <wp:effectExtent l="0" t="0" r="508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0470" cy="173990"/>
                    </a:xfrm>
                    <a:prstGeom prst="rect">
                      <a:avLst/>
                    </a:prstGeom>
                  </pic:spPr>
                </pic:pic>
              </a:graphicData>
            </a:graphic>
          </wp:anchor>
        </w:drawing>
      </w:r>
      <w:r>
        <w:rPr>
          <w:noProof/>
        </w:rPr>
        <w:drawing>
          <wp:inline distT="0" distB="0" distL="0" distR="0" wp14:anchorId="28CC331B" wp14:editId="4E5356CE">
            <wp:extent cx="3177251" cy="2082800"/>
            <wp:effectExtent l="0" t="0" r="0" b="0"/>
            <wp:docPr id="3" name="Grafico 3">
              <a:extLst xmlns:a="http://schemas.openxmlformats.org/drawingml/2006/main">
                <a:ext uri="{FF2B5EF4-FFF2-40B4-BE49-F238E27FC236}">
                  <a16:creationId xmlns:a16="http://schemas.microsoft.com/office/drawing/2014/main" id="{48AB667E-A930-67E8-BD98-2B130C5F6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3301C">
        <w:rPr>
          <w:noProof/>
        </w:rPr>
        <w:drawing>
          <wp:inline distT="0" distB="0" distL="0" distR="0" wp14:anchorId="55BDACF9" wp14:editId="4D066979">
            <wp:extent cx="3111010" cy="2273935"/>
            <wp:effectExtent l="0" t="0" r="0" b="0"/>
            <wp:docPr id="11" name="Grafico 11">
              <a:extLst xmlns:a="http://schemas.openxmlformats.org/drawingml/2006/main">
                <a:ext uri="{FF2B5EF4-FFF2-40B4-BE49-F238E27FC236}">
                  <a16:creationId xmlns:a16="http://schemas.microsoft.com/office/drawing/2014/main" id="{44B49DF1-BE79-CDFA-3802-8B6A42CEE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3301C">
        <w:rPr>
          <w:rFonts w:ascii="Arial" w:hAnsi="Arial" w:cs="Arial"/>
          <w:b/>
          <w:iCs/>
          <w:color w:val="1F497D" w:themeColor="text2"/>
          <w:sz w:val="26"/>
          <w:szCs w:val="26"/>
        </w:rPr>
        <w:br w:type="page"/>
      </w:r>
    </w:p>
    <w:p w14:paraId="571AFD26" w14:textId="2D543D0E" w:rsidR="00805493" w:rsidRDefault="00620C75" w:rsidP="00805493">
      <w:pPr>
        <w:spacing w:after="120"/>
        <w:jc w:val="both"/>
        <w:outlineLvl w:val="0"/>
        <w:rPr>
          <w:rFonts w:ascii="Arial" w:hAnsi="Arial" w:cs="Arial"/>
          <w:b/>
          <w:iCs/>
          <w:color w:val="1F497D" w:themeColor="text2"/>
          <w:sz w:val="26"/>
          <w:szCs w:val="26"/>
        </w:rPr>
      </w:pPr>
      <w:r>
        <w:rPr>
          <w:rFonts w:ascii="Arial" w:hAnsi="Arial" w:cs="Arial"/>
          <w:b/>
          <w:iCs/>
          <w:color w:val="1F497D" w:themeColor="text2"/>
          <w:sz w:val="26"/>
          <w:szCs w:val="26"/>
        </w:rPr>
        <w:lastRenderedPageBreak/>
        <w:t xml:space="preserve">Le </w:t>
      </w:r>
      <w:r w:rsidR="0006267A">
        <w:rPr>
          <w:rFonts w:ascii="Arial" w:hAnsi="Arial" w:cs="Arial"/>
          <w:b/>
          <w:iCs/>
          <w:color w:val="1F497D" w:themeColor="text2"/>
          <w:sz w:val="26"/>
          <w:szCs w:val="26"/>
        </w:rPr>
        <w:t>e</w:t>
      </w:r>
      <w:r>
        <w:rPr>
          <w:rFonts w:ascii="Arial" w:hAnsi="Arial" w:cs="Arial"/>
          <w:b/>
          <w:iCs/>
          <w:color w:val="1F497D" w:themeColor="text2"/>
          <w:sz w:val="26"/>
          <w:szCs w:val="26"/>
        </w:rPr>
        <w:t xml:space="preserve">migrazioni </w:t>
      </w:r>
      <w:r w:rsidR="00805493">
        <w:rPr>
          <w:rFonts w:ascii="Arial" w:hAnsi="Arial" w:cs="Arial"/>
          <w:b/>
          <w:iCs/>
          <w:color w:val="1F497D" w:themeColor="text2"/>
          <w:sz w:val="26"/>
          <w:szCs w:val="26"/>
        </w:rPr>
        <w:t xml:space="preserve">dei laureati </w:t>
      </w:r>
      <w:r w:rsidR="003E325B">
        <w:rPr>
          <w:rFonts w:ascii="Arial" w:hAnsi="Arial" w:cs="Arial"/>
          <w:b/>
          <w:iCs/>
          <w:color w:val="1F497D" w:themeColor="text2"/>
          <w:sz w:val="26"/>
          <w:szCs w:val="26"/>
        </w:rPr>
        <w:t xml:space="preserve">italiani </w:t>
      </w:r>
      <w:r>
        <w:rPr>
          <w:rFonts w:ascii="Arial" w:hAnsi="Arial" w:cs="Arial"/>
          <w:b/>
          <w:iCs/>
          <w:color w:val="1F497D" w:themeColor="text2"/>
          <w:sz w:val="26"/>
          <w:szCs w:val="26"/>
        </w:rPr>
        <w:t xml:space="preserve">dal Mezzogiorno </w:t>
      </w:r>
      <w:r w:rsidR="003E325B">
        <w:rPr>
          <w:rFonts w:ascii="Arial" w:hAnsi="Arial" w:cs="Arial"/>
          <w:b/>
          <w:iCs/>
          <w:color w:val="1F497D" w:themeColor="text2"/>
          <w:sz w:val="26"/>
          <w:szCs w:val="26"/>
        </w:rPr>
        <w:t xml:space="preserve">avvantaggiano il </w:t>
      </w:r>
      <w:r w:rsidR="0023666D">
        <w:rPr>
          <w:rFonts w:ascii="Arial" w:hAnsi="Arial" w:cs="Arial"/>
          <w:b/>
          <w:iCs/>
          <w:color w:val="1F497D" w:themeColor="text2"/>
          <w:sz w:val="26"/>
          <w:szCs w:val="26"/>
        </w:rPr>
        <w:t>Centro-Nord</w:t>
      </w:r>
    </w:p>
    <w:p w14:paraId="6CF0CD4C" w14:textId="70727EE4" w:rsidR="00984812" w:rsidRDefault="00784C96" w:rsidP="00805493">
      <w:pPr>
        <w:spacing w:after="120"/>
        <w:jc w:val="both"/>
        <w:outlineLvl w:val="0"/>
        <w:rPr>
          <w:rFonts w:ascii="Arial" w:hAnsi="Arial" w:cs="Arial"/>
          <w:iCs/>
          <w:sz w:val="22"/>
          <w:szCs w:val="22"/>
        </w:rPr>
      </w:pPr>
      <w:r>
        <w:rPr>
          <w:rFonts w:ascii="Arial" w:hAnsi="Arial" w:cs="Arial"/>
          <w:iCs/>
          <w:sz w:val="22"/>
          <w:szCs w:val="22"/>
        </w:rPr>
        <w:t>Negli anni dal 201</w:t>
      </w:r>
      <w:r w:rsidR="00F46442">
        <w:rPr>
          <w:rFonts w:ascii="Arial" w:hAnsi="Arial" w:cs="Arial"/>
          <w:iCs/>
          <w:sz w:val="22"/>
          <w:szCs w:val="22"/>
        </w:rPr>
        <w:t xml:space="preserve">9 </w:t>
      </w:r>
      <w:r>
        <w:rPr>
          <w:rFonts w:ascii="Arial" w:hAnsi="Arial" w:cs="Arial"/>
          <w:iCs/>
          <w:sz w:val="22"/>
          <w:szCs w:val="22"/>
        </w:rPr>
        <w:t xml:space="preserve">al 2024 la perdita complessiva di giovani laureati italiani nella classe </w:t>
      </w:r>
      <w:r w:rsidR="00573662">
        <w:rPr>
          <w:rFonts w:ascii="Arial" w:hAnsi="Arial" w:cs="Arial"/>
          <w:iCs/>
          <w:sz w:val="22"/>
          <w:szCs w:val="22"/>
        </w:rPr>
        <w:br/>
      </w:r>
      <w:r>
        <w:rPr>
          <w:rFonts w:ascii="Arial" w:hAnsi="Arial" w:cs="Arial"/>
          <w:iCs/>
          <w:sz w:val="22"/>
          <w:szCs w:val="22"/>
        </w:rPr>
        <w:t>di età 25-34 anni</w:t>
      </w:r>
      <w:r w:rsidR="00984812">
        <w:rPr>
          <w:rFonts w:ascii="Arial" w:hAnsi="Arial" w:cs="Arial"/>
          <w:iCs/>
          <w:sz w:val="22"/>
          <w:szCs w:val="22"/>
        </w:rPr>
        <w:t>,</w:t>
      </w:r>
      <w:r>
        <w:rPr>
          <w:rFonts w:ascii="Arial" w:hAnsi="Arial" w:cs="Arial"/>
          <w:iCs/>
          <w:sz w:val="22"/>
          <w:szCs w:val="22"/>
        </w:rPr>
        <w:t xml:space="preserve"> a favore dell’estero</w:t>
      </w:r>
      <w:r w:rsidR="00984812">
        <w:rPr>
          <w:rFonts w:ascii="Arial" w:hAnsi="Arial" w:cs="Arial"/>
          <w:iCs/>
          <w:sz w:val="22"/>
          <w:szCs w:val="22"/>
        </w:rPr>
        <w:t>,</w:t>
      </w:r>
      <w:r>
        <w:rPr>
          <w:rFonts w:ascii="Arial" w:hAnsi="Arial" w:cs="Arial"/>
          <w:iCs/>
          <w:sz w:val="22"/>
          <w:szCs w:val="22"/>
        </w:rPr>
        <w:t xml:space="preserve"> è di circa </w:t>
      </w:r>
      <w:r w:rsidR="00F46442">
        <w:rPr>
          <w:rFonts w:ascii="Arial" w:hAnsi="Arial" w:cs="Arial"/>
          <w:iCs/>
          <w:sz w:val="22"/>
          <w:szCs w:val="22"/>
        </w:rPr>
        <w:t>42</w:t>
      </w:r>
      <w:r w:rsidR="00984812">
        <w:rPr>
          <w:rFonts w:ascii="Arial" w:hAnsi="Arial" w:cs="Arial"/>
          <w:iCs/>
          <w:sz w:val="22"/>
          <w:szCs w:val="22"/>
        </w:rPr>
        <w:t xml:space="preserve">mila unità nel Nord, </w:t>
      </w:r>
      <w:r w:rsidR="00F46442">
        <w:rPr>
          <w:rFonts w:ascii="Arial" w:hAnsi="Arial" w:cs="Arial"/>
          <w:iCs/>
          <w:sz w:val="22"/>
          <w:szCs w:val="22"/>
        </w:rPr>
        <w:t>13</w:t>
      </w:r>
      <w:r w:rsidR="00984812">
        <w:rPr>
          <w:rFonts w:ascii="Arial" w:hAnsi="Arial" w:cs="Arial"/>
          <w:iCs/>
          <w:sz w:val="22"/>
          <w:szCs w:val="22"/>
        </w:rPr>
        <w:t xml:space="preserve">mila nel Centro e </w:t>
      </w:r>
      <w:r w:rsidR="00F46442">
        <w:rPr>
          <w:rFonts w:ascii="Arial" w:hAnsi="Arial" w:cs="Arial"/>
          <w:iCs/>
          <w:sz w:val="22"/>
          <w:szCs w:val="22"/>
        </w:rPr>
        <w:t>25</w:t>
      </w:r>
      <w:r w:rsidR="00984812">
        <w:rPr>
          <w:rFonts w:ascii="Arial" w:hAnsi="Arial" w:cs="Arial"/>
          <w:iCs/>
          <w:sz w:val="22"/>
          <w:szCs w:val="22"/>
        </w:rPr>
        <w:t xml:space="preserve">mila nel Mezzogiorno. Tuttavia, le </w:t>
      </w:r>
      <w:r w:rsidR="00984812" w:rsidRPr="001143A5">
        <w:rPr>
          <w:rFonts w:ascii="Arial" w:hAnsi="Arial" w:cs="Arial"/>
          <w:iCs/>
          <w:sz w:val="22"/>
          <w:szCs w:val="22"/>
        </w:rPr>
        <w:t>perdite di popolazione dovute allo scambio con l’estero possono essere compensate dai trasferimenti di residenza tra le ripartizioni del Paese.</w:t>
      </w:r>
      <w:r w:rsidR="00984812">
        <w:rPr>
          <w:rFonts w:ascii="Arial" w:hAnsi="Arial" w:cs="Arial"/>
          <w:iCs/>
          <w:sz w:val="22"/>
          <w:szCs w:val="22"/>
        </w:rPr>
        <w:t xml:space="preserve"> </w:t>
      </w:r>
      <w:r w:rsidR="00984812" w:rsidRPr="001143A5">
        <w:rPr>
          <w:rFonts w:ascii="Arial" w:hAnsi="Arial" w:cs="Arial"/>
          <w:iCs/>
          <w:sz w:val="22"/>
          <w:szCs w:val="22"/>
        </w:rPr>
        <w:t>È</w:t>
      </w:r>
      <w:r w:rsidR="00984812">
        <w:rPr>
          <w:rFonts w:ascii="Arial" w:hAnsi="Arial" w:cs="Arial"/>
          <w:iCs/>
          <w:sz w:val="22"/>
          <w:szCs w:val="22"/>
        </w:rPr>
        <w:t xml:space="preserve"> ciò che accade </w:t>
      </w:r>
      <w:r w:rsidR="006E0DA7">
        <w:rPr>
          <w:rFonts w:ascii="Arial" w:hAnsi="Arial" w:cs="Arial"/>
          <w:iCs/>
          <w:sz w:val="22"/>
          <w:szCs w:val="22"/>
        </w:rPr>
        <w:br/>
      </w:r>
      <w:r w:rsidR="00984812">
        <w:rPr>
          <w:rFonts w:ascii="Arial" w:hAnsi="Arial" w:cs="Arial"/>
          <w:iCs/>
          <w:sz w:val="22"/>
          <w:szCs w:val="22"/>
        </w:rPr>
        <w:t xml:space="preserve">nel </w:t>
      </w:r>
      <w:r w:rsidR="0023666D">
        <w:rPr>
          <w:rFonts w:ascii="Arial" w:hAnsi="Arial" w:cs="Arial"/>
          <w:iCs/>
          <w:sz w:val="22"/>
          <w:szCs w:val="22"/>
        </w:rPr>
        <w:t>Centro-Nord</w:t>
      </w:r>
      <w:r w:rsidR="00984812">
        <w:rPr>
          <w:rFonts w:ascii="Arial" w:hAnsi="Arial" w:cs="Arial"/>
          <w:iCs/>
          <w:sz w:val="22"/>
          <w:szCs w:val="22"/>
        </w:rPr>
        <w:t xml:space="preserve">, dove il movimento di giovani </w:t>
      </w:r>
      <w:r w:rsidR="007437BF">
        <w:rPr>
          <w:rFonts w:ascii="Arial" w:hAnsi="Arial" w:cs="Arial"/>
          <w:iCs/>
          <w:sz w:val="22"/>
          <w:szCs w:val="22"/>
        </w:rPr>
        <w:t>italiani laureati in arrivo</w:t>
      </w:r>
      <w:r w:rsidR="00984812">
        <w:rPr>
          <w:rFonts w:ascii="Arial" w:hAnsi="Arial" w:cs="Arial"/>
          <w:iCs/>
          <w:sz w:val="22"/>
          <w:szCs w:val="22"/>
        </w:rPr>
        <w:t xml:space="preserve"> dal Mezzogiorno compensa il saldo </w:t>
      </w:r>
      <w:r w:rsidR="007437BF">
        <w:rPr>
          <w:rFonts w:ascii="Arial" w:hAnsi="Arial" w:cs="Arial"/>
          <w:iCs/>
          <w:sz w:val="22"/>
          <w:szCs w:val="22"/>
        </w:rPr>
        <w:t xml:space="preserve">negativo con l’estero </w:t>
      </w:r>
      <w:r w:rsidR="008F4860">
        <w:rPr>
          <w:rFonts w:ascii="Arial" w:hAnsi="Arial" w:cs="Arial"/>
          <w:iCs/>
          <w:sz w:val="22"/>
          <w:szCs w:val="22"/>
        </w:rPr>
        <w:t>degli stessi, sancendo un’inversione di segno o quantomeno un sensibile contenimento</w:t>
      </w:r>
      <w:r w:rsidR="003E325B">
        <w:rPr>
          <w:rFonts w:ascii="Arial" w:hAnsi="Arial" w:cs="Arial"/>
          <w:iCs/>
          <w:sz w:val="22"/>
          <w:szCs w:val="22"/>
        </w:rPr>
        <w:t>,</w:t>
      </w:r>
      <w:r w:rsidR="008F4860">
        <w:rPr>
          <w:rFonts w:ascii="Arial" w:hAnsi="Arial" w:cs="Arial"/>
          <w:iCs/>
          <w:sz w:val="22"/>
          <w:szCs w:val="22"/>
        </w:rPr>
        <w:t xml:space="preserve"> </w:t>
      </w:r>
      <w:r w:rsidR="008D643A">
        <w:rPr>
          <w:rFonts w:ascii="Arial" w:hAnsi="Arial" w:cs="Arial"/>
          <w:iCs/>
          <w:sz w:val="22"/>
          <w:szCs w:val="22"/>
        </w:rPr>
        <w:t>quando negativo</w:t>
      </w:r>
      <w:r w:rsidR="003E325B">
        <w:rPr>
          <w:rFonts w:ascii="Arial" w:hAnsi="Arial" w:cs="Arial"/>
          <w:iCs/>
          <w:sz w:val="22"/>
          <w:szCs w:val="22"/>
        </w:rPr>
        <w:t>,</w:t>
      </w:r>
      <w:r w:rsidR="008D643A">
        <w:rPr>
          <w:rFonts w:ascii="Arial" w:hAnsi="Arial" w:cs="Arial"/>
          <w:iCs/>
          <w:sz w:val="22"/>
          <w:szCs w:val="22"/>
        </w:rPr>
        <w:t xml:space="preserve"> </w:t>
      </w:r>
      <w:r w:rsidR="008F4860">
        <w:rPr>
          <w:rFonts w:ascii="Arial" w:hAnsi="Arial" w:cs="Arial"/>
          <w:iCs/>
          <w:sz w:val="22"/>
          <w:szCs w:val="22"/>
        </w:rPr>
        <w:t xml:space="preserve">del </w:t>
      </w:r>
      <w:r w:rsidR="007437BF">
        <w:rPr>
          <w:rFonts w:ascii="Arial" w:hAnsi="Arial" w:cs="Arial"/>
          <w:iCs/>
          <w:sz w:val="22"/>
          <w:szCs w:val="22"/>
        </w:rPr>
        <w:t xml:space="preserve">saldo </w:t>
      </w:r>
      <w:r w:rsidR="008F4860">
        <w:rPr>
          <w:rFonts w:ascii="Arial" w:hAnsi="Arial" w:cs="Arial"/>
          <w:iCs/>
          <w:sz w:val="22"/>
          <w:szCs w:val="22"/>
        </w:rPr>
        <w:t xml:space="preserve">migratorio </w:t>
      </w:r>
      <w:r w:rsidR="007437BF">
        <w:rPr>
          <w:rFonts w:ascii="Arial" w:hAnsi="Arial" w:cs="Arial"/>
          <w:iCs/>
          <w:sz w:val="22"/>
          <w:szCs w:val="22"/>
        </w:rPr>
        <w:t xml:space="preserve">complessivo. </w:t>
      </w:r>
    </w:p>
    <w:p w14:paraId="10A59C77" w14:textId="4CB1A658" w:rsidR="007437BF" w:rsidRDefault="007437BF" w:rsidP="00D715B7">
      <w:pPr>
        <w:spacing w:after="120"/>
        <w:jc w:val="both"/>
        <w:rPr>
          <w:rFonts w:ascii="Arial" w:hAnsi="Arial" w:cs="Arial"/>
          <w:iCs/>
          <w:sz w:val="22"/>
          <w:szCs w:val="22"/>
        </w:rPr>
      </w:pPr>
      <w:r>
        <w:rPr>
          <w:rFonts w:ascii="Arial" w:hAnsi="Arial" w:cs="Arial"/>
          <w:iCs/>
          <w:sz w:val="22"/>
          <w:szCs w:val="22"/>
        </w:rPr>
        <w:t xml:space="preserve">Il Nord e il Centro, durante il </w:t>
      </w:r>
      <w:r w:rsidR="00DF7E65">
        <w:rPr>
          <w:rFonts w:ascii="Arial" w:hAnsi="Arial" w:cs="Arial"/>
          <w:iCs/>
          <w:sz w:val="22"/>
          <w:szCs w:val="22"/>
        </w:rPr>
        <w:t>quinquenni</w:t>
      </w:r>
      <w:r>
        <w:rPr>
          <w:rFonts w:ascii="Arial" w:hAnsi="Arial" w:cs="Arial"/>
          <w:iCs/>
          <w:sz w:val="22"/>
          <w:szCs w:val="22"/>
        </w:rPr>
        <w:t xml:space="preserve">o considerato, hanno </w:t>
      </w:r>
      <w:r w:rsidR="00FB63C8">
        <w:rPr>
          <w:rFonts w:ascii="Arial" w:hAnsi="Arial" w:cs="Arial"/>
          <w:iCs/>
          <w:sz w:val="22"/>
          <w:szCs w:val="22"/>
        </w:rPr>
        <w:t>registrato un saldo migratorio</w:t>
      </w:r>
      <w:r>
        <w:rPr>
          <w:rFonts w:ascii="Arial" w:hAnsi="Arial" w:cs="Arial"/>
          <w:iCs/>
          <w:sz w:val="22"/>
          <w:szCs w:val="22"/>
        </w:rPr>
        <w:t xml:space="preserve"> rispettivamente</w:t>
      </w:r>
      <w:r w:rsidR="00FB63C8">
        <w:rPr>
          <w:rFonts w:ascii="Arial" w:hAnsi="Arial" w:cs="Arial"/>
          <w:iCs/>
          <w:sz w:val="22"/>
          <w:szCs w:val="22"/>
        </w:rPr>
        <w:t xml:space="preserve"> pari a </w:t>
      </w:r>
      <w:r w:rsidR="00F46442">
        <w:rPr>
          <w:rFonts w:ascii="Arial" w:hAnsi="Arial" w:cs="Arial"/>
          <w:iCs/>
          <w:sz w:val="22"/>
          <w:szCs w:val="22"/>
        </w:rPr>
        <w:t>95</w:t>
      </w:r>
      <w:r>
        <w:rPr>
          <w:rFonts w:ascii="Arial" w:hAnsi="Arial" w:cs="Arial"/>
          <w:iCs/>
          <w:sz w:val="22"/>
          <w:szCs w:val="22"/>
        </w:rPr>
        <w:t>mila e 1</w:t>
      </w:r>
      <w:r w:rsidR="00F46442">
        <w:rPr>
          <w:rFonts w:ascii="Arial" w:hAnsi="Arial" w:cs="Arial"/>
          <w:iCs/>
          <w:sz w:val="22"/>
          <w:szCs w:val="22"/>
        </w:rPr>
        <w:t>2</w:t>
      </w:r>
      <w:r>
        <w:rPr>
          <w:rFonts w:ascii="Arial" w:hAnsi="Arial" w:cs="Arial"/>
          <w:iCs/>
          <w:sz w:val="22"/>
          <w:szCs w:val="22"/>
        </w:rPr>
        <w:t xml:space="preserve">mila giovani italiani laureati </w:t>
      </w:r>
      <w:r w:rsidR="00FB63C8">
        <w:rPr>
          <w:rFonts w:ascii="Arial" w:hAnsi="Arial" w:cs="Arial"/>
          <w:iCs/>
          <w:sz w:val="22"/>
          <w:szCs w:val="22"/>
        </w:rPr>
        <w:t xml:space="preserve">nei confronti </w:t>
      </w:r>
      <w:r w:rsidR="00BF4806">
        <w:rPr>
          <w:rFonts w:ascii="Arial" w:hAnsi="Arial" w:cs="Arial"/>
          <w:iCs/>
          <w:sz w:val="22"/>
          <w:szCs w:val="22"/>
        </w:rPr>
        <w:t>d</w:t>
      </w:r>
      <w:r w:rsidR="00FB63C8">
        <w:rPr>
          <w:rFonts w:ascii="Arial" w:hAnsi="Arial" w:cs="Arial"/>
          <w:iCs/>
          <w:sz w:val="22"/>
          <w:szCs w:val="22"/>
        </w:rPr>
        <w:t>e</w:t>
      </w:r>
      <w:r w:rsidR="00BF4806">
        <w:rPr>
          <w:rFonts w:ascii="Arial" w:hAnsi="Arial" w:cs="Arial"/>
          <w:iCs/>
          <w:sz w:val="22"/>
          <w:szCs w:val="22"/>
        </w:rPr>
        <w:t>l Mezzogiorno</w:t>
      </w:r>
      <w:r>
        <w:rPr>
          <w:rFonts w:ascii="Arial" w:hAnsi="Arial" w:cs="Arial"/>
          <w:iCs/>
          <w:sz w:val="22"/>
          <w:szCs w:val="22"/>
        </w:rPr>
        <w:t xml:space="preserve">. </w:t>
      </w:r>
      <w:r w:rsidR="00BF4806">
        <w:rPr>
          <w:rFonts w:ascii="Arial" w:hAnsi="Arial" w:cs="Arial"/>
          <w:iCs/>
          <w:sz w:val="22"/>
          <w:szCs w:val="22"/>
        </w:rPr>
        <w:t xml:space="preserve">Al netto della perdita dovuta allo scambio con l’estero, il saldo migratorio complessivo </w:t>
      </w:r>
      <w:r w:rsidR="002A6E9D">
        <w:rPr>
          <w:rFonts w:ascii="Arial" w:hAnsi="Arial" w:cs="Arial"/>
          <w:iCs/>
          <w:sz w:val="22"/>
          <w:szCs w:val="22"/>
        </w:rPr>
        <w:t xml:space="preserve">degli </w:t>
      </w:r>
      <w:r w:rsidR="00BF4806">
        <w:rPr>
          <w:rFonts w:ascii="Arial" w:hAnsi="Arial" w:cs="Arial"/>
          <w:iCs/>
          <w:sz w:val="22"/>
          <w:szCs w:val="22"/>
        </w:rPr>
        <w:t>italiani laureati diventa quindi positivo</w:t>
      </w:r>
      <w:r w:rsidR="002A6E9D">
        <w:rPr>
          <w:rFonts w:ascii="Arial" w:hAnsi="Arial" w:cs="Arial"/>
          <w:iCs/>
          <w:sz w:val="22"/>
          <w:szCs w:val="22"/>
        </w:rPr>
        <w:t xml:space="preserve"> nel Nord</w:t>
      </w:r>
      <w:r w:rsidR="00BF4806">
        <w:rPr>
          <w:rFonts w:ascii="Arial" w:hAnsi="Arial" w:cs="Arial"/>
          <w:iCs/>
          <w:sz w:val="22"/>
          <w:szCs w:val="22"/>
        </w:rPr>
        <w:t xml:space="preserve">, traducendosi in un guadagno totale di circa </w:t>
      </w:r>
      <w:r w:rsidR="00F46442">
        <w:rPr>
          <w:rFonts w:ascii="Arial" w:hAnsi="Arial" w:cs="Arial"/>
          <w:iCs/>
          <w:sz w:val="22"/>
          <w:szCs w:val="22"/>
        </w:rPr>
        <w:t>53</w:t>
      </w:r>
      <w:r w:rsidR="00BF4806">
        <w:rPr>
          <w:rFonts w:ascii="Arial" w:hAnsi="Arial" w:cs="Arial"/>
          <w:iCs/>
          <w:sz w:val="22"/>
          <w:szCs w:val="22"/>
        </w:rPr>
        <w:t xml:space="preserve">mila giovani risorse. Il Centro, grazie ai movimenti interni, recupera parzialmente e limita la perdita a poco </w:t>
      </w:r>
      <w:r w:rsidR="00F46442">
        <w:rPr>
          <w:rFonts w:ascii="Arial" w:hAnsi="Arial" w:cs="Arial"/>
          <w:iCs/>
          <w:sz w:val="22"/>
          <w:szCs w:val="22"/>
        </w:rPr>
        <w:t>più</w:t>
      </w:r>
      <w:r w:rsidR="00BF4806">
        <w:rPr>
          <w:rFonts w:ascii="Arial" w:hAnsi="Arial" w:cs="Arial"/>
          <w:iCs/>
          <w:sz w:val="22"/>
          <w:szCs w:val="22"/>
        </w:rPr>
        <w:t xml:space="preserve"> di </w:t>
      </w:r>
      <w:r w:rsidR="00F46442">
        <w:rPr>
          <w:rFonts w:ascii="Arial" w:hAnsi="Arial" w:cs="Arial"/>
          <w:iCs/>
          <w:sz w:val="22"/>
          <w:szCs w:val="22"/>
        </w:rPr>
        <w:t>mille</w:t>
      </w:r>
      <w:r w:rsidR="00BF4806">
        <w:rPr>
          <w:rFonts w:ascii="Arial" w:hAnsi="Arial" w:cs="Arial"/>
          <w:iCs/>
          <w:sz w:val="22"/>
          <w:szCs w:val="22"/>
        </w:rPr>
        <w:t xml:space="preserve"> unità. Nel Mezzogiorno, invece, il saldo migratorio negativo verso l’estero </w:t>
      </w:r>
      <w:r w:rsidR="003E325B">
        <w:rPr>
          <w:rFonts w:ascii="Arial" w:hAnsi="Arial" w:cs="Arial"/>
          <w:iCs/>
          <w:sz w:val="22"/>
          <w:szCs w:val="22"/>
        </w:rPr>
        <w:t xml:space="preserve">si accompagna a una </w:t>
      </w:r>
      <w:r w:rsidR="002A6E9D">
        <w:rPr>
          <w:rFonts w:ascii="Arial" w:hAnsi="Arial" w:cs="Arial"/>
          <w:iCs/>
          <w:sz w:val="22"/>
          <w:szCs w:val="22"/>
        </w:rPr>
        <w:t>dinamica interna</w:t>
      </w:r>
      <w:r w:rsidR="003E325B">
        <w:rPr>
          <w:rFonts w:ascii="Arial" w:hAnsi="Arial" w:cs="Arial"/>
          <w:iCs/>
          <w:sz w:val="22"/>
          <w:szCs w:val="22"/>
        </w:rPr>
        <w:t xml:space="preserve"> anch’essa negativa</w:t>
      </w:r>
      <w:r w:rsidR="002A6E9D">
        <w:rPr>
          <w:rFonts w:ascii="Arial" w:hAnsi="Arial" w:cs="Arial"/>
          <w:iCs/>
          <w:sz w:val="22"/>
          <w:szCs w:val="22"/>
        </w:rPr>
        <w:t xml:space="preserve">, </w:t>
      </w:r>
      <w:r w:rsidR="000C6FC4">
        <w:rPr>
          <w:rFonts w:ascii="Arial" w:hAnsi="Arial" w:cs="Arial"/>
          <w:iCs/>
          <w:sz w:val="22"/>
          <w:szCs w:val="22"/>
        </w:rPr>
        <w:t>che si</w:t>
      </w:r>
      <w:r w:rsidR="003E325B">
        <w:rPr>
          <w:rFonts w:ascii="Arial" w:hAnsi="Arial" w:cs="Arial"/>
          <w:iCs/>
          <w:sz w:val="22"/>
          <w:szCs w:val="22"/>
        </w:rPr>
        <w:t xml:space="preserve"> traduce in </w:t>
      </w:r>
      <w:r w:rsidR="002A6E9D">
        <w:rPr>
          <w:rFonts w:ascii="Arial" w:hAnsi="Arial" w:cs="Arial"/>
          <w:iCs/>
          <w:sz w:val="22"/>
          <w:szCs w:val="22"/>
        </w:rPr>
        <w:t>una perdita di 1</w:t>
      </w:r>
      <w:r w:rsidR="00F46442">
        <w:rPr>
          <w:rFonts w:ascii="Arial" w:hAnsi="Arial" w:cs="Arial"/>
          <w:iCs/>
          <w:sz w:val="22"/>
          <w:szCs w:val="22"/>
        </w:rPr>
        <w:t>07</w:t>
      </w:r>
      <w:r w:rsidR="002A6E9D">
        <w:rPr>
          <w:rFonts w:ascii="Arial" w:hAnsi="Arial" w:cs="Arial"/>
          <w:iCs/>
          <w:sz w:val="22"/>
          <w:szCs w:val="22"/>
        </w:rPr>
        <w:t xml:space="preserve">mila giovani laureati diretti verso il </w:t>
      </w:r>
      <w:r w:rsidR="0023666D">
        <w:rPr>
          <w:rFonts w:ascii="Arial" w:hAnsi="Arial" w:cs="Arial"/>
          <w:iCs/>
          <w:sz w:val="22"/>
          <w:szCs w:val="22"/>
        </w:rPr>
        <w:t>Centro-Nord</w:t>
      </w:r>
      <w:r w:rsidR="00BF4806">
        <w:rPr>
          <w:rFonts w:ascii="Arial" w:hAnsi="Arial" w:cs="Arial"/>
          <w:iCs/>
          <w:sz w:val="22"/>
          <w:szCs w:val="22"/>
        </w:rPr>
        <w:t>.</w:t>
      </w:r>
      <w:r w:rsidR="002A6E9D">
        <w:rPr>
          <w:rFonts w:ascii="Arial" w:hAnsi="Arial" w:cs="Arial"/>
          <w:iCs/>
          <w:sz w:val="22"/>
          <w:szCs w:val="22"/>
        </w:rPr>
        <w:t xml:space="preserve"> Ne deriva</w:t>
      </w:r>
      <w:r w:rsidR="003E325B">
        <w:rPr>
          <w:rFonts w:ascii="Arial" w:hAnsi="Arial" w:cs="Arial"/>
          <w:iCs/>
          <w:sz w:val="22"/>
          <w:szCs w:val="22"/>
        </w:rPr>
        <w:t>,</w:t>
      </w:r>
      <w:r w:rsidR="002A6E9D">
        <w:rPr>
          <w:rFonts w:ascii="Arial" w:hAnsi="Arial" w:cs="Arial"/>
          <w:iCs/>
          <w:sz w:val="22"/>
          <w:szCs w:val="22"/>
        </w:rPr>
        <w:t xml:space="preserve"> quindi</w:t>
      </w:r>
      <w:r w:rsidR="003E325B">
        <w:rPr>
          <w:rFonts w:ascii="Arial" w:hAnsi="Arial" w:cs="Arial"/>
          <w:iCs/>
          <w:sz w:val="22"/>
          <w:szCs w:val="22"/>
        </w:rPr>
        <w:t>,</w:t>
      </w:r>
      <w:r w:rsidR="002A6E9D">
        <w:rPr>
          <w:rFonts w:ascii="Arial" w:hAnsi="Arial" w:cs="Arial"/>
          <w:iCs/>
          <w:sz w:val="22"/>
          <w:szCs w:val="22"/>
        </w:rPr>
        <w:t xml:space="preserve"> una perdita complessiva di circa </w:t>
      </w:r>
      <w:r w:rsidR="00F46442">
        <w:rPr>
          <w:rFonts w:ascii="Arial" w:hAnsi="Arial" w:cs="Arial"/>
          <w:iCs/>
          <w:sz w:val="22"/>
          <w:szCs w:val="22"/>
        </w:rPr>
        <w:t>132</w:t>
      </w:r>
      <w:r w:rsidR="002A6E9D">
        <w:rPr>
          <w:rFonts w:ascii="Arial" w:hAnsi="Arial" w:cs="Arial"/>
          <w:iCs/>
          <w:sz w:val="22"/>
          <w:szCs w:val="22"/>
        </w:rPr>
        <w:t>mila giovani risorse.</w:t>
      </w:r>
    </w:p>
    <w:p w14:paraId="3A1FC1C1" w14:textId="1D77C59D" w:rsidR="00EA7F68" w:rsidRDefault="00B93063" w:rsidP="00D715B7">
      <w:pPr>
        <w:spacing w:after="120"/>
        <w:jc w:val="both"/>
        <w:rPr>
          <w:rFonts w:ascii="Arial" w:hAnsi="Arial" w:cs="Arial"/>
          <w:iCs/>
          <w:sz w:val="22"/>
          <w:szCs w:val="22"/>
        </w:rPr>
      </w:pPr>
      <w:r>
        <w:rPr>
          <w:rFonts w:ascii="Arial" w:hAnsi="Arial" w:cs="Arial"/>
          <w:iCs/>
          <w:sz w:val="22"/>
          <w:szCs w:val="22"/>
        </w:rPr>
        <w:t xml:space="preserve">Scendendo a </w:t>
      </w:r>
      <w:r w:rsidR="00D92042">
        <w:rPr>
          <w:rFonts w:ascii="Arial" w:hAnsi="Arial" w:cs="Arial"/>
          <w:iCs/>
          <w:sz w:val="22"/>
          <w:szCs w:val="22"/>
        </w:rPr>
        <w:t xml:space="preserve">un maggior dettaglio territoriale, la regione che mostra </w:t>
      </w:r>
      <w:r>
        <w:rPr>
          <w:rFonts w:ascii="Arial" w:hAnsi="Arial" w:cs="Arial"/>
          <w:iCs/>
          <w:sz w:val="22"/>
          <w:szCs w:val="22"/>
        </w:rPr>
        <w:t xml:space="preserve">il </w:t>
      </w:r>
      <w:r w:rsidR="00D92042">
        <w:rPr>
          <w:rFonts w:ascii="Arial" w:hAnsi="Arial" w:cs="Arial"/>
          <w:iCs/>
          <w:sz w:val="22"/>
          <w:szCs w:val="22"/>
        </w:rPr>
        <w:t>bilancio positivo più consistente è la Lombardia che</w:t>
      </w:r>
      <w:r>
        <w:rPr>
          <w:rFonts w:ascii="Arial" w:hAnsi="Arial" w:cs="Arial"/>
          <w:iCs/>
          <w:sz w:val="22"/>
          <w:szCs w:val="22"/>
        </w:rPr>
        <w:t>,</w:t>
      </w:r>
      <w:r w:rsidR="00D92042">
        <w:rPr>
          <w:rFonts w:ascii="Arial" w:hAnsi="Arial" w:cs="Arial"/>
          <w:iCs/>
          <w:sz w:val="22"/>
          <w:szCs w:val="22"/>
        </w:rPr>
        <w:t xml:space="preserve"> a fronte di una perdita di </w:t>
      </w:r>
      <w:r w:rsidR="00F46442">
        <w:rPr>
          <w:rFonts w:ascii="Arial" w:hAnsi="Arial" w:cs="Arial"/>
          <w:iCs/>
          <w:sz w:val="22"/>
          <w:szCs w:val="22"/>
        </w:rPr>
        <w:t>16</w:t>
      </w:r>
      <w:r w:rsidR="00D92042">
        <w:rPr>
          <w:rFonts w:ascii="Arial" w:hAnsi="Arial" w:cs="Arial"/>
          <w:iCs/>
          <w:sz w:val="22"/>
          <w:szCs w:val="22"/>
        </w:rPr>
        <w:t xml:space="preserve">mila giovani </w:t>
      </w:r>
      <w:r>
        <w:rPr>
          <w:rFonts w:ascii="Arial" w:hAnsi="Arial" w:cs="Arial"/>
          <w:iCs/>
          <w:sz w:val="22"/>
          <w:szCs w:val="22"/>
        </w:rPr>
        <w:t>qualificati</w:t>
      </w:r>
      <w:r w:rsidR="002A6E9D">
        <w:rPr>
          <w:rFonts w:ascii="Arial" w:hAnsi="Arial" w:cs="Arial"/>
          <w:iCs/>
          <w:sz w:val="22"/>
          <w:szCs w:val="22"/>
        </w:rPr>
        <w:t xml:space="preserve"> diretti verso l’estero</w:t>
      </w:r>
      <w:r w:rsidR="00D92042">
        <w:rPr>
          <w:rFonts w:ascii="Arial" w:hAnsi="Arial" w:cs="Arial"/>
          <w:iCs/>
          <w:sz w:val="22"/>
          <w:szCs w:val="22"/>
        </w:rPr>
        <w:t xml:space="preserve">, ne guadagna </w:t>
      </w:r>
      <w:r w:rsidR="002A6E9D">
        <w:rPr>
          <w:rFonts w:ascii="Arial" w:hAnsi="Arial" w:cs="Arial"/>
          <w:iCs/>
          <w:sz w:val="22"/>
          <w:szCs w:val="22"/>
        </w:rPr>
        <w:t xml:space="preserve">nel complesso </w:t>
      </w:r>
      <w:r w:rsidR="00B86F6C">
        <w:rPr>
          <w:rFonts w:ascii="Arial" w:hAnsi="Arial" w:cs="Arial"/>
          <w:iCs/>
          <w:sz w:val="22"/>
          <w:szCs w:val="22"/>
        </w:rPr>
        <w:t>35</w:t>
      </w:r>
      <w:r w:rsidR="00D92042">
        <w:rPr>
          <w:rFonts w:ascii="Arial" w:hAnsi="Arial" w:cs="Arial"/>
          <w:iCs/>
          <w:sz w:val="22"/>
          <w:szCs w:val="22"/>
        </w:rPr>
        <w:t xml:space="preserve">mila </w:t>
      </w:r>
      <w:r w:rsidR="00EA7F68">
        <w:rPr>
          <w:rFonts w:ascii="Arial" w:hAnsi="Arial" w:cs="Arial"/>
          <w:iCs/>
          <w:sz w:val="22"/>
          <w:szCs w:val="22"/>
        </w:rPr>
        <w:t>grazie ai trasferimenti dalle altre regioni (+</w:t>
      </w:r>
      <w:r w:rsidR="000C4153">
        <w:rPr>
          <w:rFonts w:ascii="Arial" w:hAnsi="Arial" w:cs="Arial"/>
          <w:iCs/>
          <w:sz w:val="22"/>
          <w:szCs w:val="22"/>
        </w:rPr>
        <w:t>51</w:t>
      </w:r>
      <w:r w:rsidR="00EA7F68">
        <w:rPr>
          <w:rFonts w:ascii="Arial" w:hAnsi="Arial" w:cs="Arial"/>
          <w:iCs/>
          <w:sz w:val="22"/>
          <w:szCs w:val="22"/>
        </w:rPr>
        <w:t>mila)</w:t>
      </w:r>
      <w:r w:rsidR="000C4153">
        <w:rPr>
          <w:rFonts w:ascii="Arial" w:hAnsi="Arial" w:cs="Arial"/>
          <w:iCs/>
          <w:sz w:val="22"/>
          <w:szCs w:val="22"/>
        </w:rPr>
        <w:t xml:space="preserve"> (Figura 7)</w:t>
      </w:r>
      <w:r w:rsidR="00EA7F68">
        <w:rPr>
          <w:rFonts w:ascii="Arial" w:hAnsi="Arial" w:cs="Arial"/>
          <w:iCs/>
          <w:sz w:val="22"/>
          <w:szCs w:val="22"/>
        </w:rPr>
        <w:t xml:space="preserve">. Segue </w:t>
      </w:r>
      <w:r w:rsidR="006E0DA7">
        <w:rPr>
          <w:rFonts w:ascii="Arial" w:hAnsi="Arial" w:cs="Arial"/>
          <w:iCs/>
          <w:sz w:val="22"/>
          <w:szCs w:val="22"/>
        </w:rPr>
        <w:br/>
      </w:r>
      <w:r w:rsidR="00EA7F68">
        <w:rPr>
          <w:rFonts w:ascii="Arial" w:hAnsi="Arial" w:cs="Arial"/>
          <w:iCs/>
          <w:sz w:val="22"/>
          <w:szCs w:val="22"/>
        </w:rPr>
        <w:t>l’Emilia-Romagna</w:t>
      </w:r>
      <w:r>
        <w:rPr>
          <w:rFonts w:ascii="Arial" w:hAnsi="Arial" w:cs="Arial"/>
          <w:iCs/>
          <w:sz w:val="22"/>
          <w:szCs w:val="22"/>
        </w:rPr>
        <w:t>,</w:t>
      </w:r>
      <w:r w:rsidR="00EA7F68">
        <w:rPr>
          <w:rFonts w:ascii="Arial" w:hAnsi="Arial" w:cs="Arial"/>
          <w:iCs/>
          <w:sz w:val="22"/>
          <w:szCs w:val="22"/>
        </w:rPr>
        <w:t xml:space="preserve"> che guadagna complessivamente </w:t>
      </w:r>
      <w:r w:rsidR="00F46442">
        <w:rPr>
          <w:rFonts w:ascii="Arial" w:hAnsi="Arial" w:cs="Arial"/>
          <w:iCs/>
          <w:sz w:val="22"/>
          <w:szCs w:val="22"/>
        </w:rPr>
        <w:t>20</w:t>
      </w:r>
      <w:r w:rsidR="00EA7F68">
        <w:rPr>
          <w:rFonts w:ascii="Arial" w:hAnsi="Arial" w:cs="Arial"/>
          <w:iCs/>
          <w:sz w:val="22"/>
          <w:szCs w:val="22"/>
        </w:rPr>
        <w:t>mila giovani laureati residenti. La regione che durante il decennio ha registrato la perdita più elevata di giovani risorse è la Campania (-</w:t>
      </w:r>
      <w:r w:rsidR="00F46442">
        <w:rPr>
          <w:rFonts w:ascii="Arial" w:hAnsi="Arial" w:cs="Arial"/>
          <w:iCs/>
          <w:sz w:val="22"/>
          <w:szCs w:val="22"/>
        </w:rPr>
        <w:t>37</w:t>
      </w:r>
      <w:r w:rsidR="00EA7F68">
        <w:rPr>
          <w:rFonts w:ascii="Arial" w:hAnsi="Arial" w:cs="Arial"/>
          <w:iCs/>
          <w:sz w:val="22"/>
          <w:szCs w:val="22"/>
        </w:rPr>
        <w:t xml:space="preserve">mila) </w:t>
      </w:r>
      <w:r>
        <w:rPr>
          <w:rFonts w:ascii="Arial" w:hAnsi="Arial" w:cs="Arial"/>
          <w:iCs/>
          <w:sz w:val="22"/>
          <w:szCs w:val="22"/>
        </w:rPr>
        <w:t>dove</w:t>
      </w:r>
      <w:r w:rsidR="00EA7F68">
        <w:rPr>
          <w:rFonts w:ascii="Arial" w:hAnsi="Arial" w:cs="Arial"/>
          <w:iCs/>
          <w:sz w:val="22"/>
          <w:szCs w:val="22"/>
        </w:rPr>
        <w:t xml:space="preserve"> alla perdita dovuta agli scambi con l’estero (-</w:t>
      </w:r>
      <w:r w:rsidR="00F46442">
        <w:rPr>
          <w:rFonts w:ascii="Arial" w:hAnsi="Arial" w:cs="Arial"/>
          <w:iCs/>
          <w:sz w:val="22"/>
          <w:szCs w:val="22"/>
        </w:rPr>
        <w:t>7</w:t>
      </w:r>
      <w:r w:rsidR="00EA7F68">
        <w:rPr>
          <w:rFonts w:ascii="Arial" w:hAnsi="Arial" w:cs="Arial"/>
          <w:iCs/>
          <w:sz w:val="22"/>
          <w:szCs w:val="22"/>
        </w:rPr>
        <w:t xml:space="preserve">mila) </w:t>
      </w:r>
      <w:r>
        <w:rPr>
          <w:rFonts w:ascii="Arial" w:hAnsi="Arial" w:cs="Arial"/>
          <w:iCs/>
          <w:sz w:val="22"/>
          <w:szCs w:val="22"/>
        </w:rPr>
        <w:t xml:space="preserve">si </w:t>
      </w:r>
      <w:r w:rsidR="00EA7F68">
        <w:rPr>
          <w:rFonts w:ascii="Arial" w:hAnsi="Arial" w:cs="Arial"/>
          <w:iCs/>
          <w:sz w:val="22"/>
          <w:szCs w:val="22"/>
        </w:rPr>
        <w:t xml:space="preserve">aggiunge anche la significativa perdita di giovani residenti laureati </w:t>
      </w:r>
      <w:r w:rsidR="000C6FC4">
        <w:rPr>
          <w:rFonts w:ascii="Arial" w:hAnsi="Arial" w:cs="Arial"/>
          <w:iCs/>
          <w:sz w:val="22"/>
          <w:szCs w:val="22"/>
        </w:rPr>
        <w:t>trasferitisi in</w:t>
      </w:r>
      <w:r w:rsidR="003E325B">
        <w:rPr>
          <w:rFonts w:ascii="Arial" w:hAnsi="Arial" w:cs="Arial"/>
          <w:iCs/>
          <w:sz w:val="22"/>
          <w:szCs w:val="22"/>
        </w:rPr>
        <w:t xml:space="preserve"> </w:t>
      </w:r>
      <w:r w:rsidR="00EA7F68">
        <w:rPr>
          <w:rFonts w:ascii="Arial" w:hAnsi="Arial" w:cs="Arial"/>
          <w:iCs/>
          <w:sz w:val="22"/>
          <w:szCs w:val="22"/>
        </w:rPr>
        <w:t>altre regioni (-</w:t>
      </w:r>
      <w:r w:rsidR="00F46442">
        <w:rPr>
          <w:rFonts w:ascii="Arial" w:hAnsi="Arial" w:cs="Arial"/>
          <w:iCs/>
          <w:sz w:val="22"/>
          <w:szCs w:val="22"/>
        </w:rPr>
        <w:t>30</w:t>
      </w:r>
      <w:r w:rsidR="00EA7F68">
        <w:rPr>
          <w:rFonts w:ascii="Arial" w:hAnsi="Arial" w:cs="Arial"/>
          <w:iCs/>
          <w:sz w:val="22"/>
          <w:szCs w:val="22"/>
        </w:rPr>
        <w:t>mila).</w:t>
      </w:r>
    </w:p>
    <w:p w14:paraId="0A8BD31B" w14:textId="77777777" w:rsidR="008A6C60" w:rsidRDefault="008A6C60" w:rsidP="00D715B7">
      <w:pPr>
        <w:spacing w:after="120"/>
        <w:jc w:val="both"/>
        <w:rPr>
          <w:rFonts w:ascii="Arial" w:hAnsi="Arial" w:cs="Arial"/>
          <w:iCs/>
          <w:sz w:val="22"/>
          <w:szCs w:val="22"/>
        </w:rPr>
      </w:pPr>
    </w:p>
    <w:p w14:paraId="7306AE53" w14:textId="77777777" w:rsidR="00FB63C8" w:rsidRDefault="00FB63C8" w:rsidP="00D715B7">
      <w:pPr>
        <w:spacing w:after="120"/>
        <w:jc w:val="both"/>
        <w:rPr>
          <w:rFonts w:ascii="Arial" w:hAnsi="Arial" w:cs="Arial"/>
          <w:iCs/>
          <w:sz w:val="22"/>
          <w:szCs w:val="22"/>
        </w:rPr>
      </w:pPr>
    </w:p>
    <w:p w14:paraId="53FDA17E" w14:textId="52F61A6B" w:rsidR="0014220E" w:rsidRDefault="0014220E" w:rsidP="00D715B7">
      <w:pPr>
        <w:spacing w:after="120"/>
        <w:jc w:val="both"/>
        <w:rPr>
          <w:rFonts w:ascii="Arial" w:hAnsi="Arial" w:cs="Arial"/>
          <w:iCs/>
          <w:sz w:val="22"/>
          <w:szCs w:val="22"/>
        </w:rPr>
      </w:pPr>
    </w:p>
    <w:p w14:paraId="05B18D0E" w14:textId="121C22E7" w:rsidR="0014220E" w:rsidRDefault="0014220E" w:rsidP="00D715B7">
      <w:pPr>
        <w:spacing w:after="120"/>
        <w:jc w:val="both"/>
        <w:rPr>
          <w:rFonts w:ascii="Arial" w:hAnsi="Arial" w:cs="Arial"/>
          <w:iCs/>
          <w:sz w:val="22"/>
          <w:szCs w:val="22"/>
        </w:rPr>
      </w:pPr>
    </w:p>
    <w:p w14:paraId="6DAC5DDD" w14:textId="68EBE405" w:rsidR="0014220E" w:rsidRDefault="0014220E" w:rsidP="00D715B7">
      <w:pPr>
        <w:spacing w:after="120"/>
        <w:jc w:val="both"/>
        <w:rPr>
          <w:rFonts w:ascii="Arial" w:hAnsi="Arial" w:cs="Arial"/>
          <w:iCs/>
          <w:sz w:val="22"/>
          <w:szCs w:val="22"/>
        </w:rPr>
      </w:pPr>
    </w:p>
    <w:p w14:paraId="39D8FF27" w14:textId="77777777" w:rsidR="007A1929" w:rsidRDefault="007A1929" w:rsidP="00D715B7">
      <w:pPr>
        <w:spacing w:after="120"/>
        <w:jc w:val="both"/>
        <w:rPr>
          <w:rFonts w:ascii="Arial" w:hAnsi="Arial" w:cs="Arial"/>
          <w:iCs/>
          <w:sz w:val="22"/>
          <w:szCs w:val="22"/>
        </w:rPr>
      </w:pPr>
    </w:p>
    <w:p w14:paraId="15DBD6F0" w14:textId="77777777" w:rsidR="007A1929" w:rsidRDefault="007A1929" w:rsidP="00D715B7">
      <w:pPr>
        <w:spacing w:after="120"/>
        <w:jc w:val="both"/>
        <w:rPr>
          <w:rFonts w:ascii="Arial" w:hAnsi="Arial" w:cs="Arial"/>
          <w:iCs/>
          <w:sz w:val="22"/>
          <w:szCs w:val="22"/>
        </w:rPr>
      </w:pPr>
    </w:p>
    <w:p w14:paraId="58C26FBC" w14:textId="77777777" w:rsidR="007A1929" w:rsidRDefault="007A1929" w:rsidP="00D715B7">
      <w:pPr>
        <w:spacing w:after="120"/>
        <w:jc w:val="both"/>
        <w:rPr>
          <w:rFonts w:ascii="Arial" w:hAnsi="Arial" w:cs="Arial"/>
          <w:iCs/>
          <w:sz w:val="22"/>
          <w:szCs w:val="22"/>
        </w:rPr>
      </w:pPr>
    </w:p>
    <w:p w14:paraId="3C978123" w14:textId="7C6044F0" w:rsidR="0014220E" w:rsidRDefault="0014220E" w:rsidP="00D715B7">
      <w:pPr>
        <w:spacing w:after="120"/>
        <w:jc w:val="both"/>
        <w:rPr>
          <w:rFonts w:ascii="Arial" w:hAnsi="Arial" w:cs="Arial"/>
          <w:iCs/>
          <w:sz w:val="22"/>
          <w:szCs w:val="22"/>
        </w:rPr>
      </w:pPr>
    </w:p>
    <w:p w14:paraId="19801913" w14:textId="77777777" w:rsidR="008B06BC" w:rsidRDefault="008B06BC" w:rsidP="00D715B7">
      <w:pPr>
        <w:spacing w:after="120"/>
        <w:jc w:val="both"/>
        <w:rPr>
          <w:rFonts w:ascii="Arial" w:hAnsi="Arial" w:cs="Arial"/>
          <w:iCs/>
          <w:sz w:val="22"/>
          <w:szCs w:val="22"/>
        </w:rPr>
      </w:pPr>
    </w:p>
    <w:p w14:paraId="1441AA32" w14:textId="174C8FAB" w:rsidR="0014220E" w:rsidRDefault="0014220E" w:rsidP="005B1044">
      <w:pPr>
        <w:jc w:val="both"/>
        <w:rPr>
          <w:rFonts w:ascii="Arial" w:hAnsi="Arial" w:cs="Arial"/>
          <w:iCs/>
          <w:sz w:val="22"/>
          <w:szCs w:val="22"/>
        </w:rPr>
      </w:pPr>
    </w:p>
    <w:p w14:paraId="6F30591A" w14:textId="77777777" w:rsidR="006E0DA7" w:rsidRPr="005B1044" w:rsidRDefault="006E0DA7" w:rsidP="005B1044">
      <w:pPr>
        <w:jc w:val="both"/>
        <w:rPr>
          <w:rFonts w:ascii="Arial" w:hAnsi="Arial" w:cs="Arial"/>
          <w:iCs/>
          <w:szCs w:val="22"/>
        </w:rPr>
      </w:pPr>
    </w:p>
    <w:p w14:paraId="2ACBF002" w14:textId="2FD1711C" w:rsidR="00BB5034" w:rsidRDefault="007150E1" w:rsidP="005B1044">
      <w:pPr>
        <w:jc w:val="both"/>
        <w:rPr>
          <w:rFonts w:ascii="Arial Narrow" w:hAnsi="Arial Narrow" w:cs="Arial"/>
          <w:iCs/>
          <w:noProof/>
          <w:color w:val="1F497D" w:themeColor="text2"/>
          <w:sz w:val="22"/>
          <w:szCs w:val="22"/>
        </w:rPr>
      </w:pPr>
      <w:r w:rsidRPr="00721971">
        <w:rPr>
          <w:rFonts w:ascii="Arial Black" w:hAnsi="Arial Black" w:cs="Arial"/>
          <w:iCs/>
          <w:noProof/>
          <w:color w:val="1F497D" w:themeColor="text2"/>
          <w:sz w:val="22"/>
          <w:szCs w:val="22"/>
        </w:rPr>
        <w:t xml:space="preserve">FIGURA </w:t>
      </w:r>
      <w:r w:rsidR="008C663B">
        <w:rPr>
          <w:rFonts w:ascii="Arial Black" w:hAnsi="Arial Black" w:cs="Arial"/>
          <w:iCs/>
          <w:noProof/>
          <w:color w:val="1F497D" w:themeColor="text2"/>
          <w:sz w:val="22"/>
          <w:szCs w:val="22"/>
        </w:rPr>
        <w:t>7</w:t>
      </w:r>
      <w:r w:rsidRPr="00721971">
        <w:rPr>
          <w:rFonts w:ascii="Arial Black" w:hAnsi="Arial Black" w:cs="Arial"/>
          <w:iCs/>
          <w:noProof/>
          <w:color w:val="1F497D" w:themeColor="text2"/>
          <w:sz w:val="22"/>
          <w:szCs w:val="22"/>
        </w:rPr>
        <w:t>.</w:t>
      </w:r>
      <w:r w:rsidRPr="00721971">
        <w:rPr>
          <w:rFonts w:ascii="Arial" w:hAnsi="Arial" w:cs="Arial"/>
          <w:b/>
          <w:bCs/>
          <w:iCs/>
          <w:sz w:val="22"/>
          <w:szCs w:val="22"/>
        </w:rPr>
        <w:t xml:space="preserve"> </w:t>
      </w:r>
      <w:r w:rsidR="00175535">
        <w:rPr>
          <w:rFonts w:ascii="Arial Narrow" w:hAnsi="Arial Narrow" w:cs="Arial"/>
          <w:b/>
          <w:iCs/>
          <w:noProof/>
          <w:color w:val="1F497D" w:themeColor="text2"/>
          <w:sz w:val="22"/>
          <w:szCs w:val="22"/>
        </w:rPr>
        <w:t>SALDI</w:t>
      </w:r>
      <w:r w:rsidR="00175535" w:rsidRPr="00721971">
        <w:rPr>
          <w:rFonts w:ascii="Arial Narrow" w:hAnsi="Arial Narrow" w:cs="Arial"/>
          <w:b/>
          <w:iCs/>
          <w:noProof/>
          <w:color w:val="1F497D" w:themeColor="text2"/>
          <w:sz w:val="22"/>
          <w:szCs w:val="22"/>
        </w:rPr>
        <w:t xml:space="preserve"> </w:t>
      </w:r>
      <w:r w:rsidRPr="00721971">
        <w:rPr>
          <w:rFonts w:ascii="Arial Narrow" w:hAnsi="Arial Narrow" w:cs="Arial"/>
          <w:b/>
          <w:iCs/>
          <w:noProof/>
          <w:color w:val="1F497D" w:themeColor="text2"/>
          <w:sz w:val="22"/>
          <w:szCs w:val="22"/>
        </w:rPr>
        <w:t>MIGRATORI INTERNI, CON L’ESTERO E TOTALI</w:t>
      </w:r>
      <w:r w:rsidR="00185BF0">
        <w:rPr>
          <w:rFonts w:ascii="Arial Narrow" w:hAnsi="Arial Narrow" w:cs="Arial"/>
          <w:b/>
          <w:iCs/>
          <w:noProof/>
          <w:color w:val="1F497D" w:themeColor="text2"/>
          <w:sz w:val="22"/>
          <w:szCs w:val="22"/>
        </w:rPr>
        <w:t>,</w:t>
      </w:r>
      <w:r w:rsidRPr="00721971">
        <w:rPr>
          <w:rFonts w:ascii="Arial Narrow" w:hAnsi="Arial Narrow" w:cs="Arial"/>
          <w:b/>
          <w:iCs/>
          <w:noProof/>
          <w:color w:val="1F497D" w:themeColor="text2"/>
          <w:sz w:val="22"/>
          <w:szCs w:val="22"/>
        </w:rPr>
        <w:t xml:space="preserve"> DEI LAUREATI ITALIANI DI 25-34 ANNI, PER</w:t>
      </w:r>
      <w:r w:rsidR="00237BE7" w:rsidRPr="00721971">
        <w:rPr>
          <w:rFonts w:ascii="Arial Narrow" w:hAnsi="Arial Narrow" w:cs="Arial"/>
          <w:b/>
          <w:iCs/>
          <w:noProof/>
          <w:color w:val="1F497D" w:themeColor="text2"/>
          <w:sz w:val="22"/>
          <w:szCs w:val="22"/>
        </w:rPr>
        <w:t xml:space="preserve"> REGIONE</w:t>
      </w:r>
      <w:r w:rsidRPr="00721971">
        <w:rPr>
          <w:rFonts w:ascii="Arial" w:hAnsi="Arial" w:cs="Arial"/>
          <w:iCs/>
          <w:sz w:val="22"/>
          <w:szCs w:val="22"/>
        </w:rPr>
        <w:t xml:space="preserve">. </w:t>
      </w:r>
      <w:r w:rsidR="005B1044">
        <w:rPr>
          <w:rFonts w:ascii="Arial Narrow" w:hAnsi="Arial Narrow" w:cs="Arial"/>
          <w:iCs/>
          <w:noProof/>
          <w:color w:val="1F497D" w:themeColor="text2"/>
          <w:sz w:val="22"/>
          <w:szCs w:val="22"/>
        </w:rPr>
        <w:t>A</w:t>
      </w:r>
      <w:r w:rsidR="00175535" w:rsidRPr="00721971">
        <w:rPr>
          <w:rFonts w:ascii="Arial Narrow" w:hAnsi="Arial Narrow" w:cs="Arial"/>
          <w:iCs/>
          <w:noProof/>
          <w:color w:val="1F497D" w:themeColor="text2"/>
          <w:sz w:val="22"/>
          <w:szCs w:val="22"/>
        </w:rPr>
        <w:t xml:space="preserve">nni </w:t>
      </w:r>
      <w:r w:rsidR="005B1044">
        <w:rPr>
          <w:rFonts w:ascii="Arial Narrow" w:hAnsi="Arial Narrow" w:cs="Arial"/>
          <w:iCs/>
          <w:noProof/>
          <w:color w:val="1F497D" w:themeColor="text2"/>
          <w:sz w:val="22"/>
          <w:szCs w:val="22"/>
        </w:rPr>
        <w:t>2019</w:t>
      </w:r>
      <w:r w:rsidR="002455D5">
        <w:rPr>
          <w:rFonts w:ascii="Arial Narrow" w:hAnsi="Arial Narrow" w:cs="Arial"/>
          <w:iCs/>
          <w:noProof/>
          <w:color w:val="1F497D" w:themeColor="text2"/>
          <w:sz w:val="22"/>
          <w:szCs w:val="22"/>
        </w:rPr>
        <w:t>-</w:t>
      </w:r>
      <w:r w:rsidR="00175535">
        <w:rPr>
          <w:rFonts w:ascii="Arial Narrow" w:hAnsi="Arial Narrow" w:cs="Arial"/>
          <w:iCs/>
          <w:noProof/>
          <w:color w:val="1F497D" w:themeColor="text2"/>
          <w:sz w:val="22"/>
          <w:szCs w:val="22"/>
        </w:rPr>
        <w:t>2024</w:t>
      </w:r>
      <w:r w:rsidR="00A7118B" w:rsidRPr="00E90572">
        <w:rPr>
          <w:rFonts w:ascii="Arial Narrow" w:hAnsi="Arial Narrow" w:cs="Arial"/>
          <w:iCs/>
          <w:noProof/>
          <w:color w:val="1F497D" w:themeColor="text2"/>
          <w:sz w:val="22"/>
          <w:szCs w:val="22"/>
        </w:rPr>
        <w:t>,</w:t>
      </w:r>
      <w:r w:rsidR="00A7118B" w:rsidRPr="009F2B26">
        <w:rPr>
          <w:rFonts w:ascii="Arial Narrow" w:hAnsi="Arial Narrow" w:cs="Arial"/>
          <w:b/>
          <w:iCs/>
          <w:noProof/>
          <w:color w:val="1F497D" w:themeColor="text2"/>
          <w:sz w:val="22"/>
          <w:szCs w:val="22"/>
        </w:rPr>
        <w:t xml:space="preserve"> </w:t>
      </w:r>
      <w:r w:rsidR="00A7118B" w:rsidRPr="0060721E">
        <w:rPr>
          <w:rFonts w:ascii="Arial Narrow" w:hAnsi="Arial Narrow" w:cs="Arial"/>
          <w:bCs/>
          <w:iCs/>
          <w:noProof/>
          <w:color w:val="1F497D" w:themeColor="text2"/>
          <w:sz w:val="22"/>
          <w:szCs w:val="22"/>
        </w:rPr>
        <w:t>valori assoluti in migliaia</w:t>
      </w:r>
    </w:p>
    <w:p w14:paraId="31CE31CB" w14:textId="77777777" w:rsidR="006E0DA7" w:rsidRPr="005B1044" w:rsidRDefault="006E0DA7" w:rsidP="005B1044">
      <w:pPr>
        <w:jc w:val="both"/>
        <w:rPr>
          <w:rFonts w:ascii="Arial Narrow" w:hAnsi="Arial Narrow" w:cs="Arial"/>
          <w:iCs/>
          <w:noProof/>
          <w:color w:val="1F497D" w:themeColor="text2"/>
          <w:sz w:val="18"/>
          <w:szCs w:val="22"/>
        </w:rPr>
      </w:pPr>
    </w:p>
    <w:p w14:paraId="2EF0CD8A" w14:textId="69F5691F" w:rsidR="007A1929" w:rsidRDefault="00F64F93" w:rsidP="00892DDF">
      <w:pPr>
        <w:spacing w:after="120"/>
        <w:jc w:val="both"/>
        <w:rPr>
          <w:rFonts w:ascii="Arial Narrow" w:hAnsi="Arial Narrow" w:cs="Arial"/>
          <w:iCs/>
          <w:noProof/>
          <w:color w:val="1F497D" w:themeColor="text2"/>
          <w:sz w:val="22"/>
          <w:szCs w:val="22"/>
        </w:rPr>
      </w:pPr>
      <w:r>
        <w:rPr>
          <w:noProof/>
        </w:rPr>
        <w:drawing>
          <wp:inline distT="0" distB="0" distL="0" distR="0" wp14:anchorId="06CEAC0C" wp14:editId="1124E5A3">
            <wp:extent cx="6300470" cy="2400935"/>
            <wp:effectExtent l="0" t="0" r="0" b="0"/>
            <wp:docPr id="191032351" name="Grafico 1">
              <a:extLst xmlns:a="http://schemas.openxmlformats.org/drawingml/2006/main">
                <a:ext uri="{FF2B5EF4-FFF2-40B4-BE49-F238E27FC236}">
                  <a16:creationId xmlns:a16="http://schemas.microsoft.com/office/drawing/2014/main" id="{28C9DBB1-28AE-4144-BD63-D6E42872F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96A203" w14:textId="64DBEBA3" w:rsidR="007F0849" w:rsidRDefault="007F0849" w:rsidP="0019759E">
      <w:pPr>
        <w:rPr>
          <w:rFonts w:ascii="Arial Narrow" w:hAnsi="Arial Narrow" w:cs="Arial"/>
          <w:b/>
          <w:iCs/>
          <w:noProof/>
          <w:color w:val="1F497D" w:themeColor="text2"/>
          <w:sz w:val="22"/>
          <w:szCs w:val="22"/>
        </w:rPr>
        <w:sectPr w:rsidR="007F0849" w:rsidSect="002261D9">
          <w:headerReference w:type="default" r:id="rId21"/>
          <w:footerReference w:type="default" r:id="rId22"/>
          <w:pgSz w:w="11906" w:h="16838" w:code="9"/>
          <w:pgMar w:top="567" w:right="992" w:bottom="714" w:left="992" w:header="0" w:footer="0" w:gutter="0"/>
          <w:cols w:space="430"/>
          <w:docGrid w:linePitch="360"/>
        </w:sectPr>
      </w:pPr>
    </w:p>
    <w:p w14:paraId="4D7346DF" w14:textId="517716F5" w:rsidR="006E4C52" w:rsidRDefault="004862A4" w:rsidP="0022588A">
      <w:pPr>
        <w:spacing w:after="120"/>
        <w:rPr>
          <w:rFonts w:ascii="Georgia" w:hAnsi="Georgia" w:cs="Arial"/>
          <w:color w:val="1F497D" w:themeColor="text2"/>
          <w:sz w:val="48"/>
          <w:szCs w:val="48"/>
        </w:rPr>
      </w:pPr>
      <w:r>
        <w:rPr>
          <w:rFonts w:ascii="Georgia" w:hAnsi="Georgia" w:cs="Arial"/>
          <w:color w:val="1F497D" w:themeColor="text2"/>
          <w:sz w:val="48"/>
          <w:szCs w:val="48"/>
        </w:rPr>
        <w:br w:type="page"/>
      </w:r>
      <w:r w:rsidR="006E4C52" w:rsidRPr="003B4168">
        <w:rPr>
          <w:rFonts w:ascii="Georgia" w:hAnsi="Georgia" w:cs="Arial"/>
          <w:color w:val="1F497D" w:themeColor="text2"/>
          <w:sz w:val="48"/>
          <w:szCs w:val="48"/>
        </w:rPr>
        <w:lastRenderedPageBreak/>
        <w:t>Glossario</w:t>
      </w:r>
    </w:p>
    <w:p w14:paraId="7EEAB3DA" w14:textId="77777777" w:rsidR="006E4C52" w:rsidRPr="00BC4D4C"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Cittadinanza</w:t>
      </w:r>
      <w:r>
        <w:rPr>
          <w:rFonts w:ascii="Arial" w:hAnsi="Arial" w:cs="Arial"/>
          <w:b w:val="0"/>
          <w:noProof/>
          <w:sz w:val="20"/>
          <w:szCs w:val="20"/>
        </w:rPr>
        <w:t>: v</w:t>
      </w:r>
      <w:r w:rsidRPr="00BC4D4C">
        <w:rPr>
          <w:rFonts w:ascii="Arial" w:hAnsi="Arial" w:cs="Arial"/>
          <w:b w:val="0"/>
          <w:noProof/>
          <w:sz w:val="20"/>
          <w:szCs w:val="20"/>
        </w:rPr>
        <w:t xml:space="preserve">incolo di appartenenza </w:t>
      </w:r>
      <w:r>
        <w:rPr>
          <w:rFonts w:ascii="Arial" w:hAnsi="Arial" w:cs="Arial"/>
          <w:b w:val="0"/>
          <w:noProof/>
          <w:sz w:val="20"/>
          <w:szCs w:val="20"/>
        </w:rPr>
        <w:t xml:space="preserve">di un individuo </w:t>
      </w:r>
      <w:r w:rsidRPr="00BC4D4C">
        <w:rPr>
          <w:rFonts w:ascii="Arial" w:hAnsi="Arial" w:cs="Arial"/>
          <w:b w:val="0"/>
          <w:noProof/>
          <w:sz w:val="20"/>
          <w:szCs w:val="20"/>
        </w:rPr>
        <w:t xml:space="preserve">a uno Stato </w:t>
      </w:r>
      <w:r>
        <w:rPr>
          <w:rFonts w:ascii="Arial" w:hAnsi="Arial" w:cs="Arial"/>
          <w:b w:val="0"/>
          <w:noProof/>
          <w:sz w:val="20"/>
          <w:szCs w:val="20"/>
        </w:rPr>
        <w:t xml:space="preserve">che garantisce </w:t>
      </w:r>
      <w:r w:rsidRPr="00BC4D4C">
        <w:rPr>
          <w:rFonts w:ascii="Arial" w:hAnsi="Arial" w:cs="Arial"/>
          <w:b w:val="0"/>
          <w:noProof/>
          <w:sz w:val="20"/>
          <w:szCs w:val="20"/>
        </w:rPr>
        <w:t>il godimento di diritti e l</w:t>
      </w:r>
      <w:r>
        <w:rPr>
          <w:rFonts w:ascii="Arial" w:hAnsi="Arial" w:cs="Arial"/>
          <w:b w:val="0"/>
          <w:noProof/>
          <w:sz w:val="20"/>
          <w:szCs w:val="20"/>
        </w:rPr>
        <w:t>’</w:t>
      </w:r>
      <w:r w:rsidRPr="00BC4D4C">
        <w:rPr>
          <w:rFonts w:ascii="Arial" w:hAnsi="Arial" w:cs="Arial"/>
          <w:b w:val="0"/>
          <w:noProof/>
          <w:sz w:val="20"/>
          <w:szCs w:val="20"/>
        </w:rPr>
        <w:t>assoggettamento a particolari oneri.</w:t>
      </w:r>
    </w:p>
    <w:p w14:paraId="52FED8AE" w14:textId="713F0F81" w:rsidR="00973F43"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Cittadino straniero residente</w:t>
      </w:r>
      <w:r>
        <w:rPr>
          <w:rFonts w:ascii="Arial" w:hAnsi="Arial" w:cs="Arial"/>
          <w:noProof/>
          <w:color w:val="1F497D"/>
          <w:sz w:val="20"/>
          <w:szCs w:val="20"/>
        </w:rPr>
        <w:t>:</w:t>
      </w:r>
      <w:r>
        <w:rPr>
          <w:rFonts w:ascii="Arial" w:hAnsi="Arial" w:cs="Arial"/>
          <w:b w:val="0"/>
          <w:noProof/>
          <w:sz w:val="20"/>
          <w:szCs w:val="20"/>
        </w:rPr>
        <w:t xml:space="preserve"> </w:t>
      </w:r>
      <w:r w:rsidR="00973F43" w:rsidRPr="00973F43">
        <w:rPr>
          <w:rFonts w:ascii="Arial" w:hAnsi="Arial" w:cs="Arial"/>
          <w:b w:val="0"/>
          <w:noProof/>
          <w:sz w:val="20"/>
          <w:szCs w:val="20"/>
        </w:rPr>
        <w:t>persona con cittadinanza straniera o apolide che ha dimora abituale nell'alloggio o nella convivenza oggetto di rilevazione ed è in possesso dei requisiti per l'iscrizione in anagrafe</w:t>
      </w:r>
    </w:p>
    <w:p w14:paraId="3CA517AA" w14:textId="48F850EF" w:rsidR="006E4C52" w:rsidRPr="00F4299F" w:rsidRDefault="006E4C52">
      <w:pPr>
        <w:pStyle w:val="Titolo3"/>
        <w:spacing w:before="0" w:beforeAutospacing="0" w:after="120" w:afterAutospacing="0"/>
        <w:jc w:val="both"/>
        <w:rPr>
          <w:rFonts w:ascii="Arial" w:hAnsi="Arial" w:cs="Arial"/>
          <w:b w:val="0"/>
          <w:bCs w:val="0"/>
          <w:noProof/>
          <w:sz w:val="20"/>
          <w:szCs w:val="20"/>
        </w:rPr>
      </w:pPr>
      <w:r w:rsidRPr="00BC4D4C">
        <w:rPr>
          <w:rFonts w:ascii="Arial" w:hAnsi="Arial" w:cs="Arial"/>
          <w:noProof/>
          <w:color w:val="1F497D"/>
          <w:sz w:val="20"/>
          <w:szCs w:val="20"/>
        </w:rPr>
        <w:t>Emigrazione</w:t>
      </w:r>
      <w:r>
        <w:rPr>
          <w:rFonts w:ascii="Arial" w:hAnsi="Arial" w:cs="Arial"/>
          <w:noProof/>
          <w:color w:val="1F497D"/>
          <w:sz w:val="20"/>
          <w:szCs w:val="20"/>
        </w:rPr>
        <w:t>:</w:t>
      </w:r>
      <w:r>
        <w:rPr>
          <w:rFonts w:ascii="Arial" w:hAnsi="Arial" w:cs="Arial"/>
          <w:b w:val="0"/>
          <w:noProof/>
          <w:sz w:val="20"/>
          <w:szCs w:val="20"/>
        </w:rPr>
        <w:t xml:space="preserve"> </w:t>
      </w:r>
      <w:r w:rsidRPr="00BC4D4C">
        <w:rPr>
          <w:rFonts w:ascii="Arial" w:hAnsi="Arial" w:cs="Arial"/>
          <w:b w:val="0"/>
          <w:noProof/>
          <w:sz w:val="20"/>
          <w:szCs w:val="20"/>
        </w:rPr>
        <w:t xml:space="preserve">azione con la quale una persona, dopo aver avuto in precedenza la propria residenza legale nel territorio di uno Stato, cessa di possederla per un periodo superiore ai </w:t>
      </w:r>
      <w:r w:rsidR="009D566A">
        <w:rPr>
          <w:rFonts w:ascii="Arial" w:hAnsi="Arial" w:cs="Arial"/>
          <w:b w:val="0"/>
          <w:noProof/>
          <w:sz w:val="20"/>
          <w:szCs w:val="20"/>
        </w:rPr>
        <w:t>12</w:t>
      </w:r>
      <w:r w:rsidR="009D566A" w:rsidRPr="00BC4D4C">
        <w:rPr>
          <w:rFonts w:ascii="Arial" w:hAnsi="Arial" w:cs="Arial"/>
          <w:b w:val="0"/>
          <w:noProof/>
          <w:sz w:val="20"/>
          <w:szCs w:val="20"/>
        </w:rPr>
        <w:t xml:space="preserve"> </w:t>
      </w:r>
      <w:r w:rsidRPr="00BC4D4C">
        <w:rPr>
          <w:rFonts w:ascii="Arial" w:hAnsi="Arial" w:cs="Arial"/>
          <w:b w:val="0"/>
          <w:noProof/>
          <w:sz w:val="20"/>
          <w:szCs w:val="20"/>
        </w:rPr>
        <w:t>mesi spostandola altrove.</w:t>
      </w:r>
    </w:p>
    <w:p w14:paraId="2489B3EB" w14:textId="77777777" w:rsidR="006E4C52" w:rsidRPr="004561EE" w:rsidRDefault="006E4C52">
      <w:pPr>
        <w:pStyle w:val="Titolo3"/>
        <w:spacing w:before="0" w:beforeAutospacing="0" w:after="120" w:afterAutospacing="0"/>
        <w:jc w:val="both"/>
        <w:rPr>
          <w:rFonts w:ascii="Arial" w:hAnsi="Arial" w:cs="Arial"/>
          <w:b w:val="0"/>
          <w:noProof/>
          <w:sz w:val="20"/>
          <w:szCs w:val="20"/>
        </w:rPr>
      </w:pPr>
      <w:r>
        <w:rPr>
          <w:rFonts w:ascii="Arial" w:hAnsi="Arial" w:cs="Arial"/>
          <w:noProof/>
          <w:color w:val="1F497D"/>
          <w:sz w:val="20"/>
          <w:szCs w:val="20"/>
        </w:rPr>
        <w:t>Espatrio</w:t>
      </w:r>
      <w:r w:rsidRPr="004561EE">
        <w:rPr>
          <w:rFonts w:ascii="Arial" w:hAnsi="Arial" w:cs="Arial"/>
          <w:noProof/>
          <w:color w:val="1F497D"/>
          <w:sz w:val="20"/>
          <w:szCs w:val="20"/>
        </w:rPr>
        <w:t>:</w:t>
      </w:r>
      <w:r w:rsidRPr="004561EE">
        <w:rPr>
          <w:rFonts w:ascii="Arial" w:hAnsi="Arial" w:cs="Arial"/>
          <w:b w:val="0"/>
          <w:noProof/>
          <w:sz w:val="20"/>
          <w:szCs w:val="20"/>
        </w:rPr>
        <w:t xml:space="preserve"> </w:t>
      </w:r>
      <w:r>
        <w:rPr>
          <w:rFonts w:ascii="Arial" w:hAnsi="Arial" w:cs="Arial"/>
          <w:b w:val="0"/>
          <w:noProof/>
          <w:sz w:val="20"/>
          <w:szCs w:val="20"/>
        </w:rPr>
        <w:t>cancellazione</w:t>
      </w:r>
      <w:r w:rsidRPr="004561EE">
        <w:rPr>
          <w:rFonts w:ascii="Arial" w:hAnsi="Arial" w:cs="Arial"/>
          <w:b w:val="0"/>
          <w:noProof/>
          <w:sz w:val="20"/>
          <w:szCs w:val="20"/>
        </w:rPr>
        <w:t xml:space="preserve"> anagrafica </w:t>
      </w:r>
      <w:r>
        <w:rPr>
          <w:rFonts w:ascii="Arial" w:hAnsi="Arial" w:cs="Arial"/>
          <w:b w:val="0"/>
          <w:noProof/>
          <w:sz w:val="20"/>
          <w:szCs w:val="20"/>
        </w:rPr>
        <w:t>per l’estero</w:t>
      </w:r>
      <w:r w:rsidRPr="004561EE">
        <w:rPr>
          <w:rFonts w:ascii="Arial" w:hAnsi="Arial" w:cs="Arial"/>
          <w:b w:val="0"/>
          <w:noProof/>
          <w:sz w:val="20"/>
          <w:szCs w:val="20"/>
        </w:rPr>
        <w:t xml:space="preserve"> di un cittadino italiano.</w:t>
      </w:r>
      <w:r>
        <w:rPr>
          <w:rFonts w:ascii="Arial" w:hAnsi="Arial" w:cs="Arial"/>
          <w:b w:val="0"/>
          <w:noProof/>
          <w:sz w:val="20"/>
          <w:szCs w:val="20"/>
        </w:rPr>
        <w:t xml:space="preserve"> Corrisponde anche all’iscrizione in AIRE (Anagrafe degli italiani residenti all’estero).</w:t>
      </w:r>
    </w:p>
    <w:p w14:paraId="51C80C12" w14:textId="77777777" w:rsidR="006E4C52" w:rsidRDefault="006E4C52">
      <w:pPr>
        <w:pStyle w:val="Titolo3"/>
        <w:spacing w:before="0" w:beforeAutospacing="0" w:after="120" w:afterAutospacing="0"/>
        <w:jc w:val="both"/>
        <w:rPr>
          <w:rFonts w:ascii="Arial" w:hAnsi="Arial" w:cs="Arial"/>
          <w:b w:val="0"/>
          <w:noProof/>
          <w:sz w:val="20"/>
          <w:szCs w:val="20"/>
        </w:rPr>
      </w:pPr>
      <w:r>
        <w:rPr>
          <w:rFonts w:ascii="Arial" w:hAnsi="Arial" w:cs="Arial"/>
          <w:noProof/>
          <w:color w:val="1F497D"/>
          <w:sz w:val="20"/>
          <w:szCs w:val="20"/>
        </w:rPr>
        <w:t xml:space="preserve">Età media della popolazione: </w:t>
      </w:r>
      <w:r w:rsidRPr="00E6106C">
        <w:rPr>
          <w:rFonts w:ascii="Arial" w:hAnsi="Arial" w:cs="Arial"/>
          <w:b w:val="0"/>
          <w:noProof/>
          <w:sz w:val="20"/>
          <w:szCs w:val="20"/>
        </w:rPr>
        <w:t>età media della popolazione residente a una certa data, espressa in anni e decimi di anno. È ottenuta come media po</w:t>
      </w:r>
      <w:r w:rsidRPr="00244FE9">
        <w:rPr>
          <w:rFonts w:ascii="Arial" w:hAnsi="Arial" w:cs="Arial"/>
          <w:b w:val="0"/>
          <w:noProof/>
          <w:sz w:val="20"/>
          <w:szCs w:val="20"/>
        </w:rPr>
        <w:t>nderata con pesi pari all'ammon</w:t>
      </w:r>
      <w:r w:rsidRPr="00E6106C">
        <w:rPr>
          <w:rFonts w:ascii="Arial" w:hAnsi="Arial" w:cs="Arial"/>
          <w:b w:val="0"/>
          <w:noProof/>
          <w:sz w:val="20"/>
          <w:szCs w:val="20"/>
        </w:rPr>
        <w:t>t</w:t>
      </w:r>
      <w:r>
        <w:rPr>
          <w:rFonts w:ascii="Arial" w:hAnsi="Arial" w:cs="Arial"/>
          <w:b w:val="0"/>
          <w:noProof/>
          <w:sz w:val="20"/>
          <w:szCs w:val="20"/>
        </w:rPr>
        <w:t>a</w:t>
      </w:r>
      <w:r w:rsidRPr="00E6106C">
        <w:rPr>
          <w:rFonts w:ascii="Arial" w:hAnsi="Arial" w:cs="Arial"/>
          <w:b w:val="0"/>
          <w:noProof/>
          <w:sz w:val="20"/>
          <w:szCs w:val="20"/>
        </w:rPr>
        <w:t>re della popolazione in ciascuna classe di età</w:t>
      </w:r>
      <w:r>
        <w:rPr>
          <w:rFonts w:ascii="Arial" w:hAnsi="Arial" w:cs="Arial"/>
          <w:b w:val="0"/>
          <w:noProof/>
          <w:sz w:val="20"/>
          <w:szCs w:val="20"/>
        </w:rPr>
        <w:t xml:space="preserve">. </w:t>
      </w:r>
    </w:p>
    <w:p w14:paraId="0283F63E" w14:textId="77777777" w:rsidR="006E4C52" w:rsidRDefault="006E4C52">
      <w:pPr>
        <w:pStyle w:val="Titolo3"/>
        <w:spacing w:before="0" w:beforeAutospacing="0" w:after="120" w:afterAutospacing="0"/>
        <w:jc w:val="both"/>
        <w:rPr>
          <w:rFonts w:ascii="Arial" w:hAnsi="Arial" w:cs="Arial"/>
          <w:b w:val="0"/>
          <w:noProof/>
          <w:sz w:val="20"/>
          <w:szCs w:val="20"/>
        </w:rPr>
      </w:pPr>
      <w:r w:rsidRPr="00E6106C">
        <w:rPr>
          <w:rFonts w:ascii="Arial" w:hAnsi="Arial" w:cs="Arial"/>
          <w:noProof/>
          <w:color w:val="1F497D"/>
          <w:sz w:val="20"/>
          <w:szCs w:val="20"/>
        </w:rPr>
        <w:t>Età mediana:</w:t>
      </w:r>
      <w:r>
        <w:rPr>
          <w:rFonts w:ascii="Arial" w:hAnsi="Arial" w:cs="Arial"/>
          <w:b w:val="0"/>
          <w:noProof/>
          <w:sz w:val="20"/>
          <w:szCs w:val="20"/>
        </w:rPr>
        <w:t xml:space="preserve"> e</w:t>
      </w:r>
      <w:r w:rsidRPr="00244FE9">
        <w:rPr>
          <w:rFonts w:ascii="Arial" w:hAnsi="Arial" w:cs="Arial"/>
          <w:b w:val="0"/>
          <w:noProof/>
          <w:sz w:val="20"/>
          <w:szCs w:val="20"/>
        </w:rPr>
        <w:t>tà che divide una popolazione in due gruppi numericamente uguali; l'uno avente la popolazione di età inferiore a quella individuata, l'altro superiore.</w:t>
      </w:r>
    </w:p>
    <w:p w14:paraId="283723D0" w14:textId="03CBAE99" w:rsidR="006E4C52" w:rsidRPr="00F4299F"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Immigrazione</w:t>
      </w:r>
      <w:r>
        <w:rPr>
          <w:rFonts w:ascii="Arial" w:hAnsi="Arial" w:cs="Arial"/>
          <w:noProof/>
          <w:color w:val="1F497D"/>
          <w:sz w:val="20"/>
          <w:szCs w:val="20"/>
        </w:rPr>
        <w:t>:</w:t>
      </w:r>
      <w:r>
        <w:rPr>
          <w:rFonts w:ascii="Arial" w:hAnsi="Arial" w:cs="Arial"/>
          <w:b w:val="0"/>
          <w:noProof/>
          <w:sz w:val="20"/>
          <w:szCs w:val="20"/>
        </w:rPr>
        <w:t xml:space="preserve"> </w:t>
      </w:r>
      <w:r w:rsidRPr="00BC4D4C">
        <w:rPr>
          <w:rFonts w:ascii="Arial" w:hAnsi="Arial" w:cs="Arial"/>
          <w:b w:val="0"/>
          <w:noProof/>
          <w:sz w:val="20"/>
          <w:szCs w:val="20"/>
        </w:rPr>
        <w:t xml:space="preserve">azione con la quale una persona stabilisce la residenza legale nel territorio di uno Stato per un periodo superiore ai </w:t>
      </w:r>
      <w:r w:rsidR="00911D85">
        <w:rPr>
          <w:rFonts w:ascii="Arial" w:hAnsi="Arial" w:cs="Arial"/>
          <w:b w:val="0"/>
          <w:noProof/>
          <w:sz w:val="20"/>
          <w:szCs w:val="20"/>
        </w:rPr>
        <w:t>12</w:t>
      </w:r>
      <w:r w:rsidRPr="00BC4D4C">
        <w:rPr>
          <w:rFonts w:ascii="Arial" w:hAnsi="Arial" w:cs="Arial"/>
          <w:b w:val="0"/>
          <w:noProof/>
          <w:sz w:val="20"/>
          <w:szCs w:val="20"/>
        </w:rPr>
        <w:t xml:space="preserve"> mesi dopo aver avuto in precedenza la propria residenza altrove</w:t>
      </w:r>
      <w:r w:rsidRPr="00BC4D4C">
        <w:rPr>
          <w:rFonts w:ascii="Arial" w:hAnsi="Arial" w:cs="Arial"/>
          <w:noProof/>
          <w:color w:val="1F497D"/>
          <w:sz w:val="20"/>
          <w:szCs w:val="20"/>
        </w:rPr>
        <w:t>.</w:t>
      </w:r>
    </w:p>
    <w:p w14:paraId="66659A02" w14:textId="77777777" w:rsidR="006E4C52"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Iscrizione e cancellazione anagrafica per trasferimento di residenza</w:t>
      </w:r>
      <w:r>
        <w:rPr>
          <w:rFonts w:ascii="Arial" w:hAnsi="Arial" w:cs="Arial"/>
          <w:noProof/>
          <w:color w:val="1F497D"/>
          <w:sz w:val="20"/>
          <w:szCs w:val="20"/>
        </w:rPr>
        <w:t>:</w:t>
      </w:r>
      <w:r>
        <w:rPr>
          <w:rFonts w:ascii="Arial" w:hAnsi="Arial" w:cs="Arial"/>
          <w:b w:val="0"/>
          <w:noProof/>
          <w:sz w:val="20"/>
          <w:szCs w:val="20"/>
        </w:rPr>
        <w:t xml:space="preserve"> l’</w:t>
      </w:r>
      <w:r w:rsidRPr="00BC4D4C">
        <w:rPr>
          <w:rFonts w:ascii="Arial" w:hAnsi="Arial" w:cs="Arial"/>
          <w:b w:val="0"/>
          <w:noProof/>
          <w:sz w:val="20"/>
          <w:szCs w:val="20"/>
        </w:rPr>
        <w:t xml:space="preserve">iscrizione riguarda le persone </w:t>
      </w:r>
      <w:r>
        <w:rPr>
          <w:rFonts w:ascii="Arial" w:hAnsi="Arial" w:cs="Arial"/>
          <w:b w:val="0"/>
          <w:noProof/>
          <w:sz w:val="20"/>
          <w:szCs w:val="20"/>
        </w:rPr>
        <w:t>che si sono trasferite</w:t>
      </w:r>
      <w:r w:rsidRPr="00BC4D4C">
        <w:rPr>
          <w:rFonts w:ascii="Arial" w:hAnsi="Arial" w:cs="Arial"/>
          <w:b w:val="0"/>
          <w:noProof/>
          <w:sz w:val="20"/>
          <w:szCs w:val="20"/>
        </w:rPr>
        <w:t xml:space="preserve"> nel </w:t>
      </w:r>
      <w:r>
        <w:rPr>
          <w:rFonts w:ascii="Arial" w:hAnsi="Arial" w:cs="Arial"/>
          <w:b w:val="0"/>
          <w:noProof/>
          <w:sz w:val="20"/>
          <w:szCs w:val="20"/>
        </w:rPr>
        <w:t>Comun</w:t>
      </w:r>
      <w:r w:rsidRPr="00BC4D4C">
        <w:rPr>
          <w:rFonts w:ascii="Arial" w:hAnsi="Arial" w:cs="Arial"/>
          <w:b w:val="0"/>
          <w:noProof/>
          <w:sz w:val="20"/>
          <w:szCs w:val="20"/>
        </w:rPr>
        <w:t xml:space="preserve">e da altri </w:t>
      </w:r>
      <w:r>
        <w:rPr>
          <w:rFonts w:ascii="Arial" w:hAnsi="Arial" w:cs="Arial"/>
          <w:b w:val="0"/>
          <w:noProof/>
          <w:sz w:val="20"/>
          <w:szCs w:val="20"/>
        </w:rPr>
        <w:t>Comun</w:t>
      </w:r>
      <w:r w:rsidRPr="00BC4D4C">
        <w:rPr>
          <w:rFonts w:ascii="Arial" w:hAnsi="Arial" w:cs="Arial"/>
          <w:b w:val="0"/>
          <w:noProof/>
          <w:sz w:val="20"/>
          <w:szCs w:val="20"/>
        </w:rPr>
        <w:t>i o dall</w:t>
      </w:r>
      <w:r>
        <w:rPr>
          <w:rFonts w:ascii="Arial" w:hAnsi="Arial" w:cs="Arial"/>
          <w:b w:val="0"/>
          <w:noProof/>
          <w:sz w:val="20"/>
          <w:szCs w:val="20"/>
        </w:rPr>
        <w:t>’</w:t>
      </w:r>
      <w:r w:rsidRPr="00BC4D4C">
        <w:rPr>
          <w:rFonts w:ascii="Arial" w:hAnsi="Arial" w:cs="Arial"/>
          <w:b w:val="0"/>
          <w:noProof/>
          <w:sz w:val="20"/>
          <w:szCs w:val="20"/>
        </w:rPr>
        <w:t xml:space="preserve">estero; la cancellazione riguarda le persone trasferitesi in altro </w:t>
      </w:r>
      <w:r>
        <w:rPr>
          <w:rFonts w:ascii="Arial" w:hAnsi="Arial" w:cs="Arial"/>
          <w:b w:val="0"/>
          <w:noProof/>
          <w:sz w:val="20"/>
          <w:szCs w:val="20"/>
        </w:rPr>
        <w:t>Comun</w:t>
      </w:r>
      <w:r w:rsidRPr="00BC4D4C">
        <w:rPr>
          <w:rFonts w:ascii="Arial" w:hAnsi="Arial" w:cs="Arial"/>
          <w:b w:val="0"/>
          <w:noProof/>
          <w:sz w:val="20"/>
          <w:szCs w:val="20"/>
        </w:rPr>
        <w:t>e o all</w:t>
      </w:r>
      <w:r>
        <w:rPr>
          <w:rFonts w:ascii="Arial" w:hAnsi="Arial" w:cs="Arial"/>
          <w:b w:val="0"/>
          <w:noProof/>
          <w:sz w:val="20"/>
          <w:szCs w:val="20"/>
        </w:rPr>
        <w:t>’</w:t>
      </w:r>
      <w:r w:rsidRPr="00BC4D4C">
        <w:rPr>
          <w:rFonts w:ascii="Arial" w:hAnsi="Arial" w:cs="Arial"/>
          <w:b w:val="0"/>
          <w:noProof/>
          <w:sz w:val="20"/>
          <w:szCs w:val="20"/>
        </w:rPr>
        <w:t xml:space="preserve">estero. I trasferimenti da un </w:t>
      </w:r>
      <w:r>
        <w:rPr>
          <w:rFonts w:ascii="Arial" w:hAnsi="Arial" w:cs="Arial"/>
          <w:b w:val="0"/>
          <w:noProof/>
          <w:sz w:val="20"/>
          <w:szCs w:val="20"/>
        </w:rPr>
        <w:t>Comun</w:t>
      </w:r>
      <w:r w:rsidRPr="00BC4D4C">
        <w:rPr>
          <w:rFonts w:ascii="Arial" w:hAnsi="Arial" w:cs="Arial"/>
          <w:b w:val="0"/>
          <w:noProof/>
          <w:sz w:val="20"/>
          <w:szCs w:val="20"/>
        </w:rPr>
        <w:t>e a un altro decorrono dal giorno della richiesta d</w:t>
      </w:r>
      <w:r>
        <w:rPr>
          <w:rFonts w:ascii="Arial" w:hAnsi="Arial" w:cs="Arial"/>
          <w:b w:val="0"/>
          <w:noProof/>
          <w:sz w:val="20"/>
          <w:szCs w:val="20"/>
        </w:rPr>
        <w:t>’</w:t>
      </w:r>
      <w:r w:rsidRPr="00BC4D4C">
        <w:rPr>
          <w:rFonts w:ascii="Arial" w:hAnsi="Arial" w:cs="Arial"/>
          <w:b w:val="0"/>
          <w:noProof/>
          <w:sz w:val="20"/>
          <w:szCs w:val="20"/>
        </w:rPr>
        <w:t xml:space="preserve">iscrizione nel </w:t>
      </w:r>
      <w:r>
        <w:rPr>
          <w:rFonts w:ascii="Arial" w:hAnsi="Arial" w:cs="Arial"/>
          <w:b w:val="0"/>
          <w:noProof/>
          <w:sz w:val="20"/>
          <w:szCs w:val="20"/>
        </w:rPr>
        <w:t>Comun</w:t>
      </w:r>
      <w:r w:rsidRPr="00BC4D4C">
        <w:rPr>
          <w:rFonts w:ascii="Arial" w:hAnsi="Arial" w:cs="Arial"/>
          <w:b w:val="0"/>
          <w:noProof/>
          <w:sz w:val="20"/>
          <w:szCs w:val="20"/>
        </w:rPr>
        <w:t xml:space="preserve">e di nuova dimora abituale, ma sono rilevati quando la pratica migratoria, di ritorno dal </w:t>
      </w:r>
      <w:r>
        <w:rPr>
          <w:rFonts w:ascii="Arial" w:hAnsi="Arial" w:cs="Arial"/>
          <w:b w:val="0"/>
          <w:noProof/>
          <w:sz w:val="20"/>
          <w:szCs w:val="20"/>
        </w:rPr>
        <w:t>Comun</w:t>
      </w:r>
      <w:r w:rsidRPr="00BC4D4C">
        <w:rPr>
          <w:rFonts w:ascii="Arial" w:hAnsi="Arial" w:cs="Arial"/>
          <w:b w:val="0"/>
          <w:noProof/>
          <w:sz w:val="20"/>
          <w:szCs w:val="20"/>
        </w:rPr>
        <w:t>e di cancellazione, risulta definita. I trasferimenti da e per l</w:t>
      </w:r>
      <w:r>
        <w:rPr>
          <w:rFonts w:ascii="Arial" w:hAnsi="Arial" w:cs="Arial"/>
          <w:b w:val="0"/>
          <w:noProof/>
          <w:sz w:val="20"/>
          <w:szCs w:val="20"/>
        </w:rPr>
        <w:t>’</w:t>
      </w:r>
      <w:r w:rsidRPr="00BC4D4C">
        <w:rPr>
          <w:rFonts w:ascii="Arial" w:hAnsi="Arial" w:cs="Arial"/>
          <w:b w:val="0"/>
          <w:noProof/>
          <w:sz w:val="20"/>
          <w:szCs w:val="20"/>
        </w:rPr>
        <w:t>estero sono rilevati nel momento in cui, rispettivamente, viene richiesta l</w:t>
      </w:r>
      <w:r>
        <w:rPr>
          <w:rFonts w:ascii="Arial" w:hAnsi="Arial" w:cs="Arial"/>
          <w:b w:val="0"/>
          <w:noProof/>
          <w:sz w:val="20"/>
          <w:szCs w:val="20"/>
        </w:rPr>
        <w:t>’</w:t>
      </w:r>
      <w:r w:rsidRPr="00BC4D4C">
        <w:rPr>
          <w:rFonts w:ascii="Arial" w:hAnsi="Arial" w:cs="Arial"/>
          <w:b w:val="0"/>
          <w:noProof/>
          <w:sz w:val="20"/>
          <w:szCs w:val="20"/>
        </w:rPr>
        <w:t>iscrizione o la cancellazione.</w:t>
      </w:r>
    </w:p>
    <w:p w14:paraId="3366A8EE" w14:textId="06BD2A9D" w:rsidR="006E4C52" w:rsidRPr="00BC4D4C"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Popolazione residente</w:t>
      </w:r>
      <w:r>
        <w:rPr>
          <w:rFonts w:ascii="Arial" w:hAnsi="Arial" w:cs="Arial"/>
          <w:noProof/>
          <w:color w:val="1F497D"/>
          <w:sz w:val="20"/>
          <w:szCs w:val="20"/>
        </w:rPr>
        <w:t>:</w:t>
      </w:r>
      <w:r>
        <w:rPr>
          <w:rFonts w:ascii="Arial" w:hAnsi="Arial" w:cs="Arial"/>
          <w:b w:val="0"/>
          <w:noProof/>
          <w:sz w:val="20"/>
          <w:szCs w:val="20"/>
        </w:rPr>
        <w:t xml:space="preserve"> </w:t>
      </w:r>
      <w:r w:rsidR="00973F43" w:rsidRPr="00973F43">
        <w:rPr>
          <w:rFonts w:ascii="Arial" w:hAnsi="Arial" w:cs="Arial"/>
          <w:b w:val="0"/>
          <w:noProof/>
          <w:sz w:val="20"/>
          <w:szCs w:val="20"/>
        </w:rPr>
        <w:t xml:space="preserve">popolazione costituita in ciascun </w:t>
      </w:r>
      <w:r w:rsidR="00FB3E30" w:rsidRPr="00973F43">
        <w:rPr>
          <w:rFonts w:ascii="Arial" w:hAnsi="Arial" w:cs="Arial"/>
          <w:b w:val="0"/>
          <w:noProof/>
          <w:sz w:val="20"/>
          <w:szCs w:val="20"/>
        </w:rPr>
        <w:t xml:space="preserve">Comune </w:t>
      </w:r>
      <w:r w:rsidR="00973F43" w:rsidRPr="00973F43">
        <w:rPr>
          <w:rFonts w:ascii="Arial" w:hAnsi="Arial" w:cs="Arial"/>
          <w:b w:val="0"/>
          <w:noProof/>
          <w:sz w:val="20"/>
          <w:szCs w:val="20"/>
        </w:rPr>
        <w:t xml:space="preserve">delle persone aventi dimora abituale nel </w:t>
      </w:r>
      <w:r w:rsidR="00FB3E30" w:rsidRPr="00973F43">
        <w:rPr>
          <w:rFonts w:ascii="Arial" w:hAnsi="Arial" w:cs="Arial"/>
          <w:b w:val="0"/>
          <w:noProof/>
          <w:sz w:val="20"/>
          <w:szCs w:val="20"/>
        </w:rPr>
        <w:t xml:space="preserve">Comune </w:t>
      </w:r>
      <w:r w:rsidR="00973F43" w:rsidRPr="00973F43">
        <w:rPr>
          <w:rFonts w:ascii="Arial" w:hAnsi="Arial" w:cs="Arial"/>
          <w:b w:val="0"/>
          <w:noProof/>
          <w:sz w:val="20"/>
          <w:szCs w:val="20"/>
        </w:rPr>
        <w:t xml:space="preserve">stesso. Non cessano di appartenere alla popolazione residente le persone temporaneamente dimoranti in altro </w:t>
      </w:r>
      <w:r w:rsidR="00FB3E30" w:rsidRPr="00973F43">
        <w:rPr>
          <w:rFonts w:ascii="Arial" w:hAnsi="Arial" w:cs="Arial"/>
          <w:b w:val="0"/>
          <w:noProof/>
          <w:sz w:val="20"/>
          <w:szCs w:val="20"/>
        </w:rPr>
        <w:t xml:space="preserve">Comune </w:t>
      </w:r>
      <w:r w:rsidR="00973F43" w:rsidRPr="00973F43">
        <w:rPr>
          <w:rFonts w:ascii="Arial" w:hAnsi="Arial" w:cs="Arial"/>
          <w:b w:val="0"/>
          <w:noProof/>
          <w:sz w:val="20"/>
          <w:szCs w:val="20"/>
        </w:rPr>
        <w:t>o all’estero per l’esercizio di occupazioni stagionali o per causa di durata</w:t>
      </w:r>
      <w:r w:rsidR="00973F43">
        <w:rPr>
          <w:rFonts w:ascii="Arial" w:hAnsi="Arial" w:cs="Arial"/>
          <w:b w:val="0"/>
          <w:noProof/>
          <w:sz w:val="20"/>
          <w:szCs w:val="20"/>
        </w:rPr>
        <w:t>.</w:t>
      </w:r>
    </w:p>
    <w:p w14:paraId="046B948C" w14:textId="77777777" w:rsidR="006E4C52" w:rsidRPr="004561EE" w:rsidRDefault="006E4C52">
      <w:pPr>
        <w:pStyle w:val="Titolo3"/>
        <w:spacing w:before="0" w:beforeAutospacing="0" w:after="120" w:afterAutospacing="0"/>
        <w:jc w:val="both"/>
        <w:rPr>
          <w:rFonts w:ascii="Arial" w:hAnsi="Arial" w:cs="Arial"/>
          <w:b w:val="0"/>
          <w:noProof/>
          <w:sz w:val="20"/>
          <w:szCs w:val="20"/>
        </w:rPr>
      </w:pPr>
      <w:r>
        <w:rPr>
          <w:rFonts w:ascii="Arial" w:hAnsi="Arial" w:cs="Arial"/>
          <w:noProof/>
          <w:color w:val="1F497D"/>
          <w:sz w:val="20"/>
          <w:szCs w:val="20"/>
        </w:rPr>
        <w:t>Rimpatrio</w:t>
      </w:r>
      <w:r w:rsidRPr="004561EE">
        <w:rPr>
          <w:rFonts w:ascii="Arial" w:hAnsi="Arial" w:cs="Arial"/>
          <w:noProof/>
          <w:color w:val="1F497D"/>
          <w:sz w:val="20"/>
          <w:szCs w:val="20"/>
        </w:rPr>
        <w:t>:</w:t>
      </w:r>
      <w:r w:rsidRPr="004561EE">
        <w:rPr>
          <w:rFonts w:ascii="Arial" w:hAnsi="Arial" w:cs="Arial"/>
          <w:b w:val="0"/>
          <w:noProof/>
          <w:sz w:val="20"/>
          <w:szCs w:val="20"/>
        </w:rPr>
        <w:t xml:space="preserve"> iscrizione anagrafica dall’estero di un cittadino italiano.</w:t>
      </w:r>
    </w:p>
    <w:p w14:paraId="2E2E696C" w14:textId="77777777" w:rsidR="006E4C52" w:rsidRPr="00BC4D4C"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Saldo migratorio con l</w:t>
      </w:r>
      <w:r>
        <w:rPr>
          <w:rFonts w:ascii="Arial" w:hAnsi="Arial" w:cs="Arial"/>
          <w:noProof/>
          <w:color w:val="1F497D"/>
          <w:sz w:val="20"/>
          <w:szCs w:val="20"/>
        </w:rPr>
        <w:t>’</w:t>
      </w:r>
      <w:r w:rsidRPr="00BC4D4C">
        <w:rPr>
          <w:rFonts w:ascii="Arial" w:hAnsi="Arial" w:cs="Arial"/>
          <w:noProof/>
          <w:color w:val="1F497D"/>
          <w:sz w:val="20"/>
          <w:szCs w:val="20"/>
        </w:rPr>
        <w:t>estero</w:t>
      </w:r>
      <w:r>
        <w:rPr>
          <w:rFonts w:ascii="Arial" w:hAnsi="Arial" w:cs="Arial"/>
          <w:noProof/>
          <w:color w:val="1F497D"/>
          <w:sz w:val="20"/>
          <w:szCs w:val="20"/>
        </w:rPr>
        <w:t>:</w:t>
      </w:r>
      <w:r>
        <w:rPr>
          <w:rFonts w:ascii="Arial" w:hAnsi="Arial" w:cs="Arial"/>
          <w:b w:val="0"/>
          <w:noProof/>
          <w:sz w:val="20"/>
          <w:szCs w:val="20"/>
        </w:rPr>
        <w:t xml:space="preserve"> d</w:t>
      </w:r>
      <w:r w:rsidRPr="007231B7">
        <w:rPr>
          <w:rFonts w:ascii="Arial" w:hAnsi="Arial" w:cs="Arial"/>
          <w:b w:val="0"/>
          <w:noProof/>
          <w:sz w:val="20"/>
          <w:szCs w:val="20"/>
        </w:rPr>
        <w:t>ifferenza tra il numero degli iscritti nei registri anagrafici per trasferimento di residenza dall’estero e il numero dei cancellati per trasferimento di residenza all’estero</w:t>
      </w:r>
      <w:r w:rsidRPr="00BC4D4C">
        <w:rPr>
          <w:rFonts w:ascii="Arial" w:hAnsi="Arial" w:cs="Arial"/>
          <w:b w:val="0"/>
          <w:noProof/>
          <w:sz w:val="20"/>
          <w:szCs w:val="20"/>
        </w:rPr>
        <w:t>.</w:t>
      </w:r>
    </w:p>
    <w:p w14:paraId="458F0E4E" w14:textId="77777777" w:rsidR="006E4C52" w:rsidRPr="00BC4D4C" w:rsidRDefault="006E4C52">
      <w:pPr>
        <w:pStyle w:val="Titolo3"/>
        <w:spacing w:before="0" w:beforeAutospacing="0" w:after="120" w:afterAutospacing="0"/>
        <w:jc w:val="both"/>
        <w:rPr>
          <w:rFonts w:ascii="Arial" w:hAnsi="Arial" w:cs="Arial"/>
          <w:noProof/>
          <w:color w:val="1F497D"/>
          <w:sz w:val="20"/>
          <w:szCs w:val="20"/>
        </w:rPr>
      </w:pPr>
      <w:r w:rsidRPr="00BC4D4C">
        <w:rPr>
          <w:rFonts w:ascii="Arial" w:hAnsi="Arial" w:cs="Arial"/>
          <w:noProof/>
          <w:color w:val="1F497D"/>
          <w:sz w:val="20"/>
          <w:szCs w:val="20"/>
        </w:rPr>
        <w:t>Saldo migratorio interno</w:t>
      </w:r>
      <w:r>
        <w:rPr>
          <w:rFonts w:ascii="Arial" w:hAnsi="Arial" w:cs="Arial"/>
          <w:noProof/>
          <w:color w:val="1F497D"/>
          <w:sz w:val="20"/>
          <w:szCs w:val="20"/>
        </w:rPr>
        <w:t>:</w:t>
      </w:r>
      <w:r>
        <w:rPr>
          <w:rFonts w:ascii="Arial" w:hAnsi="Arial" w:cs="Arial"/>
          <w:b w:val="0"/>
          <w:noProof/>
          <w:sz w:val="20"/>
          <w:szCs w:val="20"/>
        </w:rPr>
        <w:t xml:space="preserve"> d</w:t>
      </w:r>
      <w:r w:rsidRPr="00BC4D4C">
        <w:rPr>
          <w:rFonts w:ascii="Arial" w:hAnsi="Arial" w:cs="Arial"/>
          <w:b w:val="0"/>
          <w:noProof/>
          <w:sz w:val="20"/>
          <w:szCs w:val="20"/>
        </w:rPr>
        <w:t xml:space="preserve">ifferenza tra il numero degli iscritti </w:t>
      </w:r>
      <w:r>
        <w:rPr>
          <w:rFonts w:ascii="Arial" w:hAnsi="Arial" w:cs="Arial"/>
          <w:b w:val="0"/>
          <w:noProof/>
          <w:sz w:val="20"/>
          <w:szCs w:val="20"/>
        </w:rPr>
        <w:t xml:space="preserve">nei registri anagrafici </w:t>
      </w:r>
      <w:r w:rsidRPr="00BC4D4C">
        <w:rPr>
          <w:rFonts w:ascii="Arial" w:hAnsi="Arial" w:cs="Arial"/>
          <w:b w:val="0"/>
          <w:noProof/>
          <w:sz w:val="20"/>
          <w:szCs w:val="20"/>
        </w:rPr>
        <w:t xml:space="preserve">per trasferimento di residenza da altro </w:t>
      </w:r>
      <w:r>
        <w:rPr>
          <w:rFonts w:ascii="Arial" w:hAnsi="Arial" w:cs="Arial"/>
          <w:b w:val="0"/>
          <w:noProof/>
          <w:sz w:val="20"/>
          <w:szCs w:val="20"/>
        </w:rPr>
        <w:t>Comun</w:t>
      </w:r>
      <w:r w:rsidRPr="00BC4D4C">
        <w:rPr>
          <w:rFonts w:ascii="Arial" w:hAnsi="Arial" w:cs="Arial"/>
          <w:b w:val="0"/>
          <w:noProof/>
          <w:sz w:val="20"/>
          <w:szCs w:val="20"/>
        </w:rPr>
        <w:t xml:space="preserve">e e il numero dei cancellati per trasferimento di residenza in altro </w:t>
      </w:r>
      <w:r>
        <w:rPr>
          <w:rFonts w:ascii="Arial" w:hAnsi="Arial" w:cs="Arial"/>
          <w:b w:val="0"/>
          <w:noProof/>
          <w:sz w:val="20"/>
          <w:szCs w:val="20"/>
        </w:rPr>
        <w:t>Comun</w:t>
      </w:r>
      <w:r w:rsidRPr="00BC4D4C">
        <w:rPr>
          <w:rFonts w:ascii="Arial" w:hAnsi="Arial" w:cs="Arial"/>
          <w:b w:val="0"/>
          <w:noProof/>
          <w:sz w:val="20"/>
          <w:szCs w:val="20"/>
        </w:rPr>
        <w:t>e.</w:t>
      </w:r>
      <w:r w:rsidRPr="00BC4D4C">
        <w:rPr>
          <w:rFonts w:ascii="Arial" w:hAnsi="Arial" w:cs="Arial"/>
          <w:noProof/>
          <w:color w:val="1F497D"/>
          <w:sz w:val="20"/>
          <w:szCs w:val="20"/>
        </w:rPr>
        <w:t xml:space="preserve"> </w:t>
      </w:r>
    </w:p>
    <w:p w14:paraId="1C249769" w14:textId="77777777" w:rsidR="006E4C52" w:rsidRPr="00F4299F"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Saldo migratorio totale</w:t>
      </w:r>
      <w:r>
        <w:rPr>
          <w:rFonts w:ascii="Arial" w:hAnsi="Arial" w:cs="Arial"/>
          <w:noProof/>
          <w:color w:val="1F497D"/>
          <w:sz w:val="20"/>
          <w:szCs w:val="20"/>
        </w:rPr>
        <w:t xml:space="preserve">: </w:t>
      </w:r>
      <w:r>
        <w:rPr>
          <w:rFonts w:ascii="Arial" w:hAnsi="Arial" w:cs="Arial"/>
          <w:b w:val="0"/>
          <w:noProof/>
          <w:sz w:val="20"/>
          <w:szCs w:val="20"/>
        </w:rPr>
        <w:t>d</w:t>
      </w:r>
      <w:r w:rsidRPr="00BC4D4C">
        <w:rPr>
          <w:rFonts w:ascii="Arial" w:hAnsi="Arial" w:cs="Arial"/>
          <w:b w:val="0"/>
          <w:noProof/>
          <w:sz w:val="20"/>
          <w:szCs w:val="20"/>
        </w:rPr>
        <w:t>ifferenza tra il numero degli iscritti e il numero dei cancellati dai registri anagrafici per trasferimento di residenza.</w:t>
      </w:r>
      <w:r w:rsidRPr="00BC4D4C">
        <w:rPr>
          <w:rFonts w:ascii="Arial" w:hAnsi="Arial" w:cs="Arial"/>
          <w:noProof/>
          <w:color w:val="1F497D"/>
          <w:sz w:val="20"/>
          <w:szCs w:val="20"/>
        </w:rPr>
        <w:t xml:space="preserve"> </w:t>
      </w:r>
    </w:p>
    <w:p w14:paraId="42D15F27" w14:textId="77777777" w:rsidR="006E4C52" w:rsidRPr="00BC4D4C"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Tasso di emigratorietà/immigratorietà migratorietà</w:t>
      </w:r>
      <w:r>
        <w:rPr>
          <w:rFonts w:ascii="Arial" w:hAnsi="Arial" w:cs="Arial"/>
          <w:noProof/>
          <w:color w:val="1F497D"/>
          <w:sz w:val="20"/>
          <w:szCs w:val="20"/>
        </w:rPr>
        <w:t xml:space="preserve">: </w:t>
      </w:r>
      <w:r>
        <w:rPr>
          <w:rFonts w:ascii="Arial" w:hAnsi="Arial" w:cs="Arial"/>
          <w:b w:val="0"/>
          <w:noProof/>
          <w:sz w:val="20"/>
          <w:szCs w:val="20"/>
        </w:rPr>
        <w:t>r</w:t>
      </w:r>
      <w:r w:rsidRPr="00BC4D4C">
        <w:rPr>
          <w:rFonts w:ascii="Arial" w:hAnsi="Arial" w:cs="Arial"/>
          <w:b w:val="0"/>
          <w:noProof/>
          <w:sz w:val="20"/>
          <w:szCs w:val="20"/>
        </w:rPr>
        <w:t>appresenta, rispettivamente, il rapporto tra gli emigrati/gli immigrati/ il saldo migratorio nel corso di un anno e l</w:t>
      </w:r>
      <w:r>
        <w:rPr>
          <w:rFonts w:ascii="Arial" w:hAnsi="Arial" w:cs="Arial"/>
          <w:b w:val="0"/>
          <w:noProof/>
          <w:sz w:val="20"/>
          <w:szCs w:val="20"/>
        </w:rPr>
        <w:t>’</w:t>
      </w:r>
      <w:r w:rsidRPr="00BC4D4C">
        <w:rPr>
          <w:rFonts w:ascii="Arial" w:hAnsi="Arial" w:cs="Arial"/>
          <w:b w:val="0"/>
          <w:noProof/>
          <w:sz w:val="20"/>
          <w:szCs w:val="20"/>
        </w:rPr>
        <w:t>ammontare medio nell</w:t>
      </w:r>
      <w:r>
        <w:rPr>
          <w:rFonts w:ascii="Arial" w:hAnsi="Arial" w:cs="Arial"/>
          <w:b w:val="0"/>
          <w:noProof/>
          <w:sz w:val="20"/>
          <w:szCs w:val="20"/>
        </w:rPr>
        <w:t>’</w:t>
      </w:r>
      <w:r w:rsidRPr="00BC4D4C">
        <w:rPr>
          <w:rFonts w:ascii="Arial" w:hAnsi="Arial" w:cs="Arial"/>
          <w:b w:val="0"/>
          <w:noProof/>
          <w:sz w:val="20"/>
          <w:szCs w:val="20"/>
        </w:rPr>
        <w:t>anno della popolazione residente.</w:t>
      </w:r>
    </w:p>
    <w:p w14:paraId="753C23FF" w14:textId="77777777" w:rsidR="006E4C52" w:rsidRPr="00BC4D4C"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Trasferimenti di residenza intraregionali</w:t>
      </w:r>
      <w:r>
        <w:rPr>
          <w:rFonts w:ascii="Arial" w:hAnsi="Arial" w:cs="Arial"/>
          <w:noProof/>
          <w:color w:val="1F497D"/>
          <w:sz w:val="20"/>
          <w:szCs w:val="20"/>
        </w:rPr>
        <w:t>:</w:t>
      </w:r>
      <w:r w:rsidRPr="00BC4D4C">
        <w:rPr>
          <w:rFonts w:ascii="Arial" w:hAnsi="Arial" w:cs="Arial"/>
          <w:noProof/>
          <w:color w:val="1F497D"/>
          <w:sz w:val="20"/>
          <w:szCs w:val="20"/>
        </w:rPr>
        <w:t xml:space="preserve"> </w:t>
      </w:r>
      <w:r>
        <w:rPr>
          <w:rFonts w:ascii="Arial" w:hAnsi="Arial" w:cs="Arial"/>
          <w:b w:val="0"/>
          <w:noProof/>
          <w:sz w:val="20"/>
          <w:szCs w:val="20"/>
        </w:rPr>
        <w:t>c</w:t>
      </w:r>
      <w:r w:rsidRPr="00BC4D4C">
        <w:rPr>
          <w:rFonts w:ascii="Arial" w:hAnsi="Arial" w:cs="Arial"/>
          <w:b w:val="0"/>
          <w:noProof/>
          <w:sz w:val="20"/>
          <w:szCs w:val="20"/>
        </w:rPr>
        <w:t xml:space="preserve">omprendono i trasferimenti di “breve raggio” (tra </w:t>
      </w:r>
      <w:r>
        <w:rPr>
          <w:rFonts w:ascii="Arial" w:hAnsi="Arial" w:cs="Arial"/>
          <w:b w:val="0"/>
          <w:noProof/>
          <w:sz w:val="20"/>
          <w:szCs w:val="20"/>
        </w:rPr>
        <w:t>Comun</w:t>
      </w:r>
      <w:r w:rsidRPr="00BC4D4C">
        <w:rPr>
          <w:rFonts w:ascii="Arial" w:hAnsi="Arial" w:cs="Arial"/>
          <w:b w:val="0"/>
          <w:noProof/>
          <w:sz w:val="20"/>
          <w:szCs w:val="20"/>
        </w:rPr>
        <w:t xml:space="preserve">i appartenenti alla stessa Provincia) e di “medio raggio” (tra </w:t>
      </w:r>
      <w:r>
        <w:rPr>
          <w:rFonts w:ascii="Arial" w:hAnsi="Arial" w:cs="Arial"/>
          <w:b w:val="0"/>
          <w:noProof/>
          <w:sz w:val="20"/>
          <w:szCs w:val="20"/>
        </w:rPr>
        <w:t>Comun</w:t>
      </w:r>
      <w:r w:rsidRPr="00BC4D4C">
        <w:rPr>
          <w:rFonts w:ascii="Arial" w:hAnsi="Arial" w:cs="Arial"/>
          <w:b w:val="0"/>
          <w:noProof/>
          <w:sz w:val="20"/>
          <w:szCs w:val="20"/>
        </w:rPr>
        <w:t>i di province diverse ma appartenenti alla stessa Regione).</w:t>
      </w:r>
    </w:p>
    <w:p w14:paraId="1F3DDCC2" w14:textId="77777777" w:rsidR="006E4C52" w:rsidRDefault="006E4C52">
      <w:pPr>
        <w:pStyle w:val="Titolo3"/>
        <w:spacing w:before="0" w:beforeAutospacing="0" w:after="120" w:afterAutospacing="0"/>
        <w:jc w:val="both"/>
        <w:rPr>
          <w:rFonts w:ascii="Arial" w:hAnsi="Arial" w:cs="Arial"/>
          <w:b w:val="0"/>
          <w:noProof/>
          <w:sz w:val="20"/>
          <w:szCs w:val="20"/>
        </w:rPr>
      </w:pPr>
      <w:r w:rsidRPr="00BC4D4C">
        <w:rPr>
          <w:rFonts w:ascii="Arial" w:hAnsi="Arial" w:cs="Arial"/>
          <w:noProof/>
          <w:color w:val="1F497D"/>
          <w:sz w:val="20"/>
          <w:szCs w:val="20"/>
        </w:rPr>
        <w:t>Trasferimenti di residenza interregionali</w:t>
      </w:r>
      <w:r>
        <w:rPr>
          <w:rFonts w:ascii="Arial" w:hAnsi="Arial" w:cs="Arial"/>
          <w:noProof/>
          <w:color w:val="1F497D"/>
          <w:sz w:val="20"/>
          <w:szCs w:val="20"/>
        </w:rPr>
        <w:t xml:space="preserve">: </w:t>
      </w:r>
      <w:r>
        <w:rPr>
          <w:rFonts w:ascii="Arial" w:hAnsi="Arial" w:cs="Arial"/>
          <w:b w:val="0"/>
          <w:noProof/>
          <w:sz w:val="20"/>
          <w:szCs w:val="20"/>
        </w:rPr>
        <w:t>c</w:t>
      </w:r>
      <w:r w:rsidRPr="00BC4D4C">
        <w:rPr>
          <w:rFonts w:ascii="Arial" w:hAnsi="Arial" w:cs="Arial"/>
          <w:b w:val="0"/>
          <w:noProof/>
          <w:sz w:val="20"/>
          <w:szCs w:val="20"/>
        </w:rPr>
        <w:t>omprendono i trasferimenti di “</w:t>
      </w:r>
      <w:r>
        <w:rPr>
          <w:rFonts w:ascii="Arial" w:hAnsi="Arial" w:cs="Arial"/>
          <w:b w:val="0"/>
          <w:noProof/>
          <w:sz w:val="20"/>
          <w:szCs w:val="20"/>
        </w:rPr>
        <w:t>lungo</w:t>
      </w:r>
      <w:r w:rsidRPr="00BC4D4C">
        <w:rPr>
          <w:rFonts w:ascii="Arial" w:hAnsi="Arial" w:cs="Arial"/>
          <w:b w:val="0"/>
          <w:noProof/>
          <w:sz w:val="20"/>
          <w:szCs w:val="20"/>
        </w:rPr>
        <w:t xml:space="preserve"> raggio” tra </w:t>
      </w:r>
      <w:r>
        <w:rPr>
          <w:rFonts w:ascii="Arial" w:hAnsi="Arial" w:cs="Arial"/>
          <w:b w:val="0"/>
          <w:noProof/>
          <w:sz w:val="20"/>
          <w:szCs w:val="20"/>
        </w:rPr>
        <w:t>Comun</w:t>
      </w:r>
      <w:r w:rsidRPr="00BC4D4C">
        <w:rPr>
          <w:rFonts w:ascii="Arial" w:hAnsi="Arial" w:cs="Arial"/>
          <w:b w:val="0"/>
          <w:noProof/>
          <w:sz w:val="20"/>
          <w:szCs w:val="20"/>
        </w:rPr>
        <w:t xml:space="preserve">i di </w:t>
      </w:r>
      <w:r>
        <w:rPr>
          <w:rFonts w:ascii="Arial" w:hAnsi="Arial" w:cs="Arial"/>
          <w:b w:val="0"/>
          <w:noProof/>
          <w:sz w:val="20"/>
          <w:szCs w:val="20"/>
        </w:rPr>
        <w:t>regioni</w:t>
      </w:r>
      <w:r w:rsidRPr="00BC4D4C">
        <w:rPr>
          <w:rFonts w:ascii="Arial" w:hAnsi="Arial" w:cs="Arial"/>
          <w:b w:val="0"/>
          <w:noProof/>
          <w:sz w:val="20"/>
          <w:szCs w:val="20"/>
        </w:rPr>
        <w:t xml:space="preserve"> diverse.</w:t>
      </w:r>
    </w:p>
    <w:p w14:paraId="234AC057" w14:textId="77777777" w:rsidR="006E4C52" w:rsidRPr="00BC4D4C" w:rsidRDefault="006E4C52">
      <w:pPr>
        <w:pStyle w:val="Titolo3"/>
        <w:spacing w:before="0" w:beforeAutospacing="0" w:after="120" w:afterAutospacing="0"/>
        <w:jc w:val="both"/>
        <w:rPr>
          <w:rFonts w:ascii="Arial" w:hAnsi="Arial" w:cs="Arial"/>
          <w:b w:val="0"/>
          <w:noProof/>
          <w:sz w:val="20"/>
          <w:szCs w:val="20"/>
        </w:rPr>
      </w:pPr>
      <w:r w:rsidRPr="00D3725D">
        <w:rPr>
          <w:rFonts w:ascii="Arial" w:hAnsi="Arial" w:cs="Arial"/>
          <w:noProof/>
          <w:color w:val="1F497D"/>
          <w:sz w:val="20"/>
          <w:szCs w:val="20"/>
        </w:rPr>
        <w:t>Variazione percentuale:</w:t>
      </w:r>
      <w:r w:rsidRPr="00D3725D">
        <w:rPr>
          <w:rFonts w:ascii="Arial" w:hAnsi="Arial" w:cs="Arial"/>
          <w:b w:val="0"/>
          <w:noProof/>
          <w:sz w:val="20"/>
          <w:szCs w:val="20"/>
        </w:rPr>
        <w:t xml:space="preserve"> rapporto tra la variazione assoluta e l’ammontare iniziale</w:t>
      </w:r>
      <w:r>
        <w:rPr>
          <w:rFonts w:ascii="Arial" w:hAnsi="Arial" w:cs="Arial"/>
          <w:b w:val="0"/>
          <w:noProof/>
          <w:sz w:val="20"/>
          <w:szCs w:val="20"/>
        </w:rPr>
        <w:t xml:space="preserve"> di un certo fenomeno</w:t>
      </w:r>
      <w:r w:rsidRPr="00D3725D">
        <w:rPr>
          <w:rFonts w:ascii="Arial" w:hAnsi="Arial" w:cs="Arial"/>
          <w:b w:val="0"/>
          <w:noProof/>
          <w:sz w:val="20"/>
          <w:szCs w:val="20"/>
        </w:rPr>
        <w:t xml:space="preserve">, </w:t>
      </w:r>
      <w:r>
        <w:rPr>
          <w:rFonts w:ascii="Arial" w:hAnsi="Arial" w:cs="Arial"/>
          <w:b w:val="0"/>
          <w:noProof/>
          <w:sz w:val="20"/>
          <w:szCs w:val="20"/>
        </w:rPr>
        <w:t xml:space="preserve">moltiplicato </w:t>
      </w:r>
      <w:r w:rsidRPr="00D3725D">
        <w:rPr>
          <w:rFonts w:ascii="Arial" w:hAnsi="Arial" w:cs="Arial"/>
          <w:b w:val="0"/>
          <w:noProof/>
          <w:sz w:val="20"/>
          <w:szCs w:val="20"/>
        </w:rPr>
        <w:t>per 100.</w:t>
      </w:r>
    </w:p>
    <w:p w14:paraId="05C1967C" w14:textId="03864CF1" w:rsidR="004862A4" w:rsidRDefault="004862A4">
      <w:pPr>
        <w:rPr>
          <w:rFonts w:ascii="Georgia" w:hAnsi="Georgia" w:cs="Arial"/>
          <w:bCs/>
          <w:color w:val="1F497D" w:themeColor="text2"/>
          <w:sz w:val="36"/>
          <w:szCs w:val="48"/>
        </w:rPr>
      </w:pPr>
      <w:r>
        <w:rPr>
          <w:rFonts w:ascii="Georgia" w:hAnsi="Georgia" w:cs="Arial"/>
          <w:b/>
          <w:color w:val="1F497D" w:themeColor="text2"/>
          <w:sz w:val="36"/>
          <w:szCs w:val="48"/>
        </w:rPr>
        <w:br w:type="page"/>
      </w:r>
    </w:p>
    <w:p w14:paraId="0F0A49C0" w14:textId="77777777" w:rsidR="006E4C52" w:rsidRPr="0007346F" w:rsidRDefault="006E4C52">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lastRenderedPageBreak/>
        <w:t>Nota metodologica</w:t>
      </w:r>
    </w:p>
    <w:p w14:paraId="18BC1202" w14:textId="27014609" w:rsidR="006E4C52" w:rsidRPr="00BC4D4C" w:rsidRDefault="006E4C52">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O</w:t>
      </w:r>
      <w:r w:rsidRPr="00BC4D4C">
        <w:rPr>
          <w:rFonts w:ascii="Arial" w:hAnsi="Arial" w:cs="Arial"/>
          <w:b/>
          <w:bCs/>
          <w:color w:val="1F497D" w:themeColor="text2"/>
          <w:sz w:val="22"/>
          <w:szCs w:val="22"/>
        </w:rPr>
        <w:t xml:space="preserve">biettivi conoscitivi </w:t>
      </w:r>
    </w:p>
    <w:p w14:paraId="020BA69B" w14:textId="3357F97F" w:rsidR="006E4C52" w:rsidRPr="00BC4D4C" w:rsidRDefault="00CC1EE1">
      <w:pPr>
        <w:spacing w:after="120"/>
        <w:jc w:val="both"/>
        <w:rPr>
          <w:rFonts w:ascii="Arial" w:hAnsi="Arial" w:cs="Arial"/>
          <w:bCs/>
          <w:sz w:val="20"/>
          <w:szCs w:val="20"/>
        </w:rPr>
      </w:pPr>
      <w:r>
        <w:rPr>
          <w:rFonts w:ascii="Arial" w:hAnsi="Arial" w:cs="Arial"/>
          <w:bCs/>
          <w:sz w:val="20"/>
          <w:szCs w:val="20"/>
        </w:rPr>
        <w:t>L</w:t>
      </w:r>
      <w:r w:rsidR="00CE331E">
        <w:rPr>
          <w:rFonts w:ascii="Arial" w:hAnsi="Arial" w:cs="Arial"/>
          <w:bCs/>
          <w:sz w:val="20"/>
          <w:szCs w:val="20"/>
        </w:rPr>
        <w:t>a raccolta sistematica delle</w:t>
      </w:r>
      <w:r>
        <w:rPr>
          <w:rFonts w:ascii="Arial" w:hAnsi="Arial" w:cs="Arial"/>
          <w:bCs/>
          <w:sz w:val="20"/>
          <w:szCs w:val="20"/>
        </w:rPr>
        <w:t xml:space="preserve"> I</w:t>
      </w:r>
      <w:r w:rsidR="006E4C52" w:rsidRPr="00BC4D4C">
        <w:rPr>
          <w:rFonts w:ascii="Arial" w:hAnsi="Arial" w:cs="Arial"/>
          <w:bCs/>
          <w:sz w:val="20"/>
          <w:szCs w:val="20"/>
        </w:rPr>
        <w:t>scrizioni e cancellazioni per tras</w:t>
      </w:r>
      <w:r w:rsidR="00CE331E">
        <w:rPr>
          <w:rFonts w:ascii="Arial" w:hAnsi="Arial" w:cs="Arial"/>
          <w:bCs/>
          <w:sz w:val="20"/>
          <w:szCs w:val="20"/>
        </w:rPr>
        <w:t>ferimento di residenza fornisce l</w:t>
      </w:r>
      <w:r w:rsidR="006E4C52" w:rsidRPr="00BC4D4C">
        <w:rPr>
          <w:rFonts w:ascii="Arial" w:hAnsi="Arial" w:cs="Arial"/>
          <w:bCs/>
          <w:sz w:val="20"/>
          <w:szCs w:val="20"/>
        </w:rPr>
        <w:t>a base informativa per tutte le analisi sui flussi migratori interni e con l</w:t>
      </w:r>
      <w:r w:rsidR="006E4C52">
        <w:rPr>
          <w:rFonts w:ascii="Arial" w:hAnsi="Arial" w:cs="Arial"/>
          <w:bCs/>
          <w:sz w:val="20"/>
          <w:szCs w:val="20"/>
        </w:rPr>
        <w:t>’</w:t>
      </w:r>
      <w:r w:rsidR="006E4C52" w:rsidRPr="00BC4D4C">
        <w:rPr>
          <w:rFonts w:ascii="Arial" w:hAnsi="Arial" w:cs="Arial"/>
          <w:bCs/>
          <w:sz w:val="20"/>
          <w:szCs w:val="20"/>
        </w:rPr>
        <w:t>estero. Essa permette di conoscere l</w:t>
      </w:r>
      <w:r w:rsidR="006E4C52">
        <w:rPr>
          <w:rFonts w:ascii="Arial" w:hAnsi="Arial" w:cs="Arial"/>
          <w:bCs/>
          <w:sz w:val="20"/>
          <w:szCs w:val="20"/>
        </w:rPr>
        <w:t>’</w:t>
      </w:r>
      <w:r w:rsidR="006E4C52" w:rsidRPr="00BC4D4C">
        <w:rPr>
          <w:rFonts w:ascii="Arial" w:hAnsi="Arial" w:cs="Arial"/>
          <w:bCs/>
          <w:sz w:val="20"/>
          <w:szCs w:val="20"/>
        </w:rPr>
        <w:t xml:space="preserve">intensità e la direzione dei flussi, nonché le principali caratteristiche socio-demografiche di coloro che trasferiscono la propria residenza. Inoltre, sul fronte interno, le informazioni rilevate attraverso </w:t>
      </w:r>
      <w:r w:rsidR="00CE331E">
        <w:rPr>
          <w:rFonts w:ascii="Arial" w:hAnsi="Arial" w:cs="Arial"/>
          <w:bCs/>
          <w:sz w:val="20"/>
          <w:szCs w:val="20"/>
        </w:rPr>
        <w:t>la raccolta</w:t>
      </w:r>
      <w:r w:rsidR="006E4C52" w:rsidRPr="00BC4D4C">
        <w:rPr>
          <w:rFonts w:ascii="Arial" w:hAnsi="Arial" w:cs="Arial"/>
          <w:bCs/>
          <w:sz w:val="20"/>
          <w:szCs w:val="20"/>
        </w:rPr>
        <w:t xml:space="preserve"> consentono di studiare nel tempo la capacità attrattiva di alcune aree del Paese e di monitorare la consistenza dei movimenti migratori e il conseguente impatto che tali trasferimenti hanno sulla popolazione residente nei luoghi di origine e di destinazione dei flussi. Sul fronte internazionale, invece, l</w:t>
      </w:r>
      <w:r w:rsidR="006E4C52">
        <w:rPr>
          <w:rFonts w:ascii="Arial" w:hAnsi="Arial" w:cs="Arial"/>
          <w:bCs/>
          <w:sz w:val="20"/>
          <w:szCs w:val="20"/>
        </w:rPr>
        <w:t>’</w:t>
      </w:r>
      <w:r w:rsidR="006E4C52" w:rsidRPr="00BC4D4C">
        <w:rPr>
          <w:rFonts w:ascii="Arial" w:hAnsi="Arial" w:cs="Arial"/>
          <w:bCs/>
          <w:sz w:val="20"/>
          <w:szCs w:val="20"/>
        </w:rPr>
        <w:t>analisi dei flussi migratori con l</w:t>
      </w:r>
      <w:r w:rsidR="006E4C52">
        <w:rPr>
          <w:rFonts w:ascii="Arial" w:hAnsi="Arial" w:cs="Arial"/>
          <w:bCs/>
          <w:sz w:val="20"/>
          <w:szCs w:val="20"/>
        </w:rPr>
        <w:t>’</w:t>
      </w:r>
      <w:r w:rsidR="006E4C52" w:rsidRPr="00BC4D4C">
        <w:rPr>
          <w:rFonts w:ascii="Arial" w:hAnsi="Arial" w:cs="Arial"/>
          <w:bCs/>
          <w:sz w:val="20"/>
          <w:szCs w:val="20"/>
        </w:rPr>
        <w:t>estero, distinti per cittadinanza, permette di valutare, in particolare, l</w:t>
      </w:r>
      <w:r w:rsidR="006E4C52">
        <w:rPr>
          <w:rFonts w:ascii="Arial" w:hAnsi="Arial" w:cs="Arial"/>
          <w:bCs/>
          <w:sz w:val="20"/>
          <w:szCs w:val="20"/>
        </w:rPr>
        <w:t>’</w:t>
      </w:r>
      <w:r w:rsidR="006E4C52" w:rsidRPr="00BC4D4C">
        <w:rPr>
          <w:rFonts w:ascii="Arial" w:hAnsi="Arial" w:cs="Arial"/>
          <w:bCs/>
          <w:sz w:val="20"/>
          <w:szCs w:val="20"/>
        </w:rPr>
        <w:t>andamento dell</w:t>
      </w:r>
      <w:r w:rsidR="006E4C52">
        <w:rPr>
          <w:rFonts w:ascii="Arial" w:hAnsi="Arial" w:cs="Arial"/>
          <w:bCs/>
          <w:sz w:val="20"/>
          <w:szCs w:val="20"/>
        </w:rPr>
        <w:t>’</w:t>
      </w:r>
      <w:r w:rsidR="006E4C52" w:rsidRPr="00BC4D4C">
        <w:rPr>
          <w:rFonts w:ascii="Arial" w:hAnsi="Arial" w:cs="Arial"/>
          <w:bCs/>
          <w:sz w:val="20"/>
          <w:szCs w:val="20"/>
        </w:rPr>
        <w:t>immigrazione straniera verso l</w:t>
      </w:r>
      <w:r w:rsidR="006E4C52">
        <w:rPr>
          <w:rFonts w:ascii="Arial" w:hAnsi="Arial" w:cs="Arial"/>
          <w:bCs/>
          <w:sz w:val="20"/>
          <w:szCs w:val="20"/>
        </w:rPr>
        <w:t>’</w:t>
      </w:r>
      <w:r w:rsidR="006E4C52" w:rsidRPr="00BC4D4C">
        <w:rPr>
          <w:rFonts w:ascii="Arial" w:hAnsi="Arial" w:cs="Arial"/>
          <w:bCs/>
          <w:sz w:val="20"/>
          <w:szCs w:val="20"/>
        </w:rPr>
        <w:t>Italia e l</w:t>
      </w:r>
      <w:r w:rsidR="006E4C52">
        <w:rPr>
          <w:rFonts w:ascii="Arial" w:hAnsi="Arial" w:cs="Arial"/>
          <w:bCs/>
          <w:sz w:val="20"/>
          <w:szCs w:val="20"/>
        </w:rPr>
        <w:t>’</w:t>
      </w:r>
      <w:r w:rsidR="006E4C52" w:rsidRPr="00BC4D4C">
        <w:rPr>
          <w:rFonts w:ascii="Arial" w:hAnsi="Arial" w:cs="Arial"/>
          <w:bCs/>
          <w:sz w:val="20"/>
          <w:szCs w:val="20"/>
        </w:rPr>
        <w:t>emigrazione degli italiani verso l</w:t>
      </w:r>
      <w:r w:rsidR="006E4C52">
        <w:rPr>
          <w:rFonts w:ascii="Arial" w:hAnsi="Arial" w:cs="Arial"/>
          <w:bCs/>
          <w:sz w:val="20"/>
          <w:szCs w:val="20"/>
        </w:rPr>
        <w:t>’</w:t>
      </w:r>
      <w:r w:rsidR="006E4C52" w:rsidRPr="00BC4D4C">
        <w:rPr>
          <w:rFonts w:ascii="Arial" w:hAnsi="Arial" w:cs="Arial"/>
          <w:bCs/>
          <w:sz w:val="20"/>
          <w:szCs w:val="20"/>
        </w:rPr>
        <w:t xml:space="preserve">estero. </w:t>
      </w:r>
    </w:p>
    <w:p w14:paraId="58F73844" w14:textId="77777777" w:rsidR="006E4C52" w:rsidRPr="00D427A7" w:rsidRDefault="006E4C52">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Riferimenti normativi</w:t>
      </w:r>
    </w:p>
    <w:p w14:paraId="046C604D" w14:textId="0C5E87C9" w:rsidR="006E4C52" w:rsidRDefault="006E4C52">
      <w:pPr>
        <w:spacing w:after="120"/>
        <w:jc w:val="both"/>
        <w:rPr>
          <w:rFonts w:ascii="Arial" w:hAnsi="Arial" w:cs="Arial"/>
          <w:bCs/>
          <w:sz w:val="20"/>
          <w:szCs w:val="20"/>
        </w:rPr>
      </w:pPr>
      <w:r w:rsidRPr="00BC4D4C">
        <w:rPr>
          <w:rFonts w:ascii="Arial" w:hAnsi="Arial" w:cs="Arial"/>
          <w:bCs/>
          <w:sz w:val="20"/>
          <w:szCs w:val="20"/>
        </w:rPr>
        <w:t xml:space="preserve">La crescente esigenza di statistiche confrontabili a livello internazionale ha generato un processo di armonizzazione dei concetti e delle definizioni a livello europeo, secondo gli standard stabiliti dal Regolamento 862/2007 relativo alle statistiche </w:t>
      </w:r>
      <w:r>
        <w:rPr>
          <w:rFonts w:ascii="Arial" w:hAnsi="Arial" w:cs="Arial"/>
          <w:bCs/>
          <w:sz w:val="20"/>
          <w:szCs w:val="20"/>
        </w:rPr>
        <w:t>comun</w:t>
      </w:r>
      <w:r w:rsidRPr="00BC4D4C">
        <w:rPr>
          <w:rFonts w:ascii="Arial" w:hAnsi="Arial" w:cs="Arial"/>
          <w:bCs/>
          <w:sz w:val="20"/>
          <w:szCs w:val="20"/>
        </w:rPr>
        <w:t xml:space="preserve">itarie in materia di migrazione e di protezione internazionale (Regulation (Ec) No 862/2007 </w:t>
      </w:r>
      <w:r>
        <w:rPr>
          <w:rFonts w:ascii="Arial" w:hAnsi="Arial" w:cs="Arial"/>
          <w:bCs/>
          <w:sz w:val="20"/>
          <w:szCs w:val="20"/>
        </w:rPr>
        <w:t>o</w:t>
      </w:r>
      <w:r w:rsidRPr="00BC4D4C">
        <w:rPr>
          <w:rFonts w:ascii="Arial" w:hAnsi="Arial" w:cs="Arial"/>
          <w:bCs/>
          <w:sz w:val="20"/>
          <w:szCs w:val="20"/>
        </w:rPr>
        <w:t xml:space="preserve">f The European Parliament and of the Council of 11 July 2007 on Community Statistics </w:t>
      </w:r>
      <w:r>
        <w:rPr>
          <w:rFonts w:ascii="Arial" w:hAnsi="Arial" w:cs="Arial"/>
          <w:bCs/>
          <w:sz w:val="20"/>
          <w:szCs w:val="20"/>
        </w:rPr>
        <w:t>o</w:t>
      </w:r>
      <w:r w:rsidRPr="00BC4D4C">
        <w:rPr>
          <w:rFonts w:ascii="Arial" w:hAnsi="Arial" w:cs="Arial"/>
          <w:bCs/>
          <w:sz w:val="20"/>
          <w:szCs w:val="20"/>
        </w:rPr>
        <w:t xml:space="preserve">n Migration </w:t>
      </w:r>
      <w:r>
        <w:rPr>
          <w:rFonts w:ascii="Arial" w:hAnsi="Arial" w:cs="Arial"/>
          <w:bCs/>
          <w:sz w:val="20"/>
          <w:szCs w:val="20"/>
        </w:rPr>
        <w:t>a</w:t>
      </w:r>
      <w:r w:rsidRPr="00BC4D4C">
        <w:rPr>
          <w:rFonts w:ascii="Arial" w:hAnsi="Arial" w:cs="Arial"/>
          <w:bCs/>
          <w:sz w:val="20"/>
          <w:szCs w:val="20"/>
        </w:rPr>
        <w:t xml:space="preserve">nd International Protection </w:t>
      </w:r>
      <w:r>
        <w:rPr>
          <w:rFonts w:ascii="Arial" w:hAnsi="Arial" w:cs="Arial"/>
          <w:bCs/>
          <w:sz w:val="20"/>
          <w:szCs w:val="20"/>
        </w:rPr>
        <w:t>a</w:t>
      </w:r>
      <w:r w:rsidRPr="00BC4D4C">
        <w:rPr>
          <w:rFonts w:ascii="Arial" w:hAnsi="Arial" w:cs="Arial"/>
          <w:bCs/>
          <w:sz w:val="20"/>
          <w:szCs w:val="20"/>
        </w:rPr>
        <w:t xml:space="preserve">nd Repealing Council Regulation (Eec) No 311/76 on the </w:t>
      </w:r>
      <w:r>
        <w:rPr>
          <w:rFonts w:ascii="Arial" w:hAnsi="Arial" w:cs="Arial"/>
          <w:bCs/>
          <w:sz w:val="20"/>
          <w:szCs w:val="20"/>
        </w:rPr>
        <w:t>C</w:t>
      </w:r>
      <w:r w:rsidRPr="00BC4D4C">
        <w:rPr>
          <w:rFonts w:ascii="Arial" w:hAnsi="Arial" w:cs="Arial"/>
          <w:bCs/>
          <w:sz w:val="20"/>
          <w:szCs w:val="20"/>
        </w:rPr>
        <w:t xml:space="preserve">ompilation of statistics on foreign workers). Il </w:t>
      </w:r>
      <w:r>
        <w:rPr>
          <w:rFonts w:ascii="Arial" w:hAnsi="Arial" w:cs="Arial"/>
          <w:bCs/>
          <w:sz w:val="20"/>
          <w:szCs w:val="20"/>
        </w:rPr>
        <w:t>R</w:t>
      </w:r>
      <w:r w:rsidRPr="00BC4D4C">
        <w:rPr>
          <w:rFonts w:ascii="Arial" w:hAnsi="Arial" w:cs="Arial"/>
          <w:bCs/>
          <w:sz w:val="20"/>
          <w:szCs w:val="20"/>
        </w:rPr>
        <w:t>egolamento 862/2007 impone agli Stati membri, oltre alla trasmissione annuale delle statistiche sui flussi migratori con l</w:t>
      </w:r>
      <w:r>
        <w:rPr>
          <w:rFonts w:ascii="Arial" w:hAnsi="Arial" w:cs="Arial"/>
          <w:bCs/>
          <w:sz w:val="20"/>
          <w:szCs w:val="20"/>
        </w:rPr>
        <w:t>’</w:t>
      </w:r>
      <w:r w:rsidRPr="00BC4D4C">
        <w:rPr>
          <w:rFonts w:ascii="Arial" w:hAnsi="Arial" w:cs="Arial"/>
          <w:bCs/>
          <w:sz w:val="20"/>
          <w:szCs w:val="20"/>
        </w:rPr>
        <w:t>estero, anche la fornitura della composizione della popolazione residente al 31 dicembre di ciascun anno (</w:t>
      </w:r>
      <w:r w:rsidRPr="003B7316">
        <w:rPr>
          <w:rFonts w:ascii="Arial" w:hAnsi="Arial" w:cs="Arial"/>
          <w:bCs/>
          <w:i/>
          <w:iCs/>
          <w:sz w:val="20"/>
          <w:szCs w:val="20"/>
        </w:rPr>
        <w:t>stock</w:t>
      </w:r>
      <w:r w:rsidRPr="00BC4D4C">
        <w:rPr>
          <w:rFonts w:ascii="Arial" w:hAnsi="Arial" w:cs="Arial"/>
          <w:bCs/>
          <w:sz w:val="20"/>
          <w:szCs w:val="20"/>
        </w:rPr>
        <w:t xml:space="preserve">), distinta per sesso, classe di età, cittadinanza e paese di nascita. </w:t>
      </w:r>
    </w:p>
    <w:p w14:paraId="218BCEF6" w14:textId="6C544414" w:rsidR="00F40200" w:rsidRDefault="00F40200">
      <w:pPr>
        <w:spacing w:after="120"/>
        <w:jc w:val="both"/>
        <w:rPr>
          <w:rFonts w:ascii="Arial" w:hAnsi="Arial" w:cs="Arial"/>
          <w:bCs/>
          <w:sz w:val="20"/>
          <w:szCs w:val="20"/>
        </w:rPr>
      </w:pPr>
      <w:r w:rsidRPr="00F40200">
        <w:rPr>
          <w:rFonts w:ascii="Arial" w:hAnsi="Arial" w:cs="Arial"/>
          <w:bCs/>
          <w:sz w:val="20"/>
          <w:szCs w:val="20"/>
        </w:rPr>
        <w:t xml:space="preserve">La </w:t>
      </w:r>
      <w:r w:rsidR="00217C33">
        <w:rPr>
          <w:rFonts w:ascii="Arial" w:hAnsi="Arial" w:cs="Arial"/>
          <w:bCs/>
          <w:sz w:val="20"/>
          <w:szCs w:val="20"/>
        </w:rPr>
        <w:t>raccolta sistematica delle I</w:t>
      </w:r>
      <w:r w:rsidR="00217C33" w:rsidRPr="00BC4D4C">
        <w:rPr>
          <w:rFonts w:ascii="Arial" w:hAnsi="Arial" w:cs="Arial"/>
          <w:bCs/>
          <w:sz w:val="20"/>
          <w:szCs w:val="20"/>
        </w:rPr>
        <w:t>scrizioni e cancellazioni per tras</w:t>
      </w:r>
      <w:r w:rsidR="00217C33">
        <w:rPr>
          <w:rFonts w:ascii="Arial" w:hAnsi="Arial" w:cs="Arial"/>
          <w:bCs/>
          <w:sz w:val="20"/>
          <w:szCs w:val="20"/>
        </w:rPr>
        <w:t>ferimento di residenza</w:t>
      </w:r>
      <w:r w:rsidRPr="00F40200">
        <w:rPr>
          <w:rFonts w:ascii="Arial" w:hAnsi="Arial" w:cs="Arial"/>
          <w:bCs/>
          <w:sz w:val="20"/>
          <w:szCs w:val="20"/>
        </w:rPr>
        <w:t xml:space="preserve"> è inserita nel Programma Statistico Nazionale (codice IST-00119).</w:t>
      </w:r>
    </w:p>
    <w:p w14:paraId="6355D7AA" w14:textId="77777777" w:rsidR="006E4C52" w:rsidRPr="00D427A7" w:rsidRDefault="006E4C52">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Fonti di dati</w:t>
      </w:r>
    </w:p>
    <w:p w14:paraId="298C2E39" w14:textId="1B18B0E8" w:rsidR="006E4C52" w:rsidRDefault="00973F43">
      <w:pPr>
        <w:spacing w:after="120"/>
        <w:jc w:val="both"/>
        <w:rPr>
          <w:rFonts w:ascii="Arial" w:hAnsi="Arial" w:cs="Arial"/>
          <w:bCs/>
          <w:sz w:val="20"/>
          <w:szCs w:val="20"/>
        </w:rPr>
      </w:pPr>
      <w:r>
        <w:rPr>
          <w:rFonts w:ascii="Arial" w:hAnsi="Arial" w:cs="Arial"/>
          <w:bCs/>
          <w:sz w:val="20"/>
          <w:szCs w:val="20"/>
        </w:rPr>
        <w:t>I</w:t>
      </w:r>
      <w:r w:rsidR="006E4C52" w:rsidRPr="00286DC7">
        <w:rPr>
          <w:rFonts w:ascii="Arial" w:hAnsi="Arial" w:cs="Arial"/>
          <w:bCs/>
          <w:sz w:val="20"/>
          <w:szCs w:val="20"/>
        </w:rPr>
        <w:t xml:space="preserve"> dati relativi alle iscrizioni e cancellazioni </w:t>
      </w:r>
      <w:r w:rsidR="006E4C52">
        <w:rPr>
          <w:rFonts w:ascii="Arial" w:hAnsi="Arial" w:cs="Arial"/>
          <w:bCs/>
          <w:sz w:val="20"/>
          <w:szCs w:val="20"/>
        </w:rPr>
        <w:t xml:space="preserve">per trasferimento di residenza da/per altro </w:t>
      </w:r>
      <w:r w:rsidR="00911D85">
        <w:rPr>
          <w:rFonts w:ascii="Arial" w:hAnsi="Arial" w:cs="Arial"/>
          <w:bCs/>
          <w:sz w:val="20"/>
          <w:szCs w:val="20"/>
        </w:rPr>
        <w:t>C</w:t>
      </w:r>
      <w:r w:rsidR="006E4C52">
        <w:rPr>
          <w:rFonts w:ascii="Arial" w:hAnsi="Arial" w:cs="Arial"/>
          <w:bCs/>
          <w:sz w:val="20"/>
          <w:szCs w:val="20"/>
        </w:rPr>
        <w:t>omun</w:t>
      </w:r>
      <w:r w:rsidR="00911D85">
        <w:rPr>
          <w:rFonts w:ascii="Arial" w:hAnsi="Arial" w:cs="Arial"/>
          <w:bCs/>
          <w:sz w:val="20"/>
          <w:szCs w:val="20"/>
        </w:rPr>
        <w:t>e</w:t>
      </w:r>
      <w:r w:rsidR="006E4C52">
        <w:rPr>
          <w:rFonts w:ascii="Arial" w:hAnsi="Arial" w:cs="Arial"/>
          <w:bCs/>
          <w:sz w:val="20"/>
          <w:szCs w:val="20"/>
        </w:rPr>
        <w:t xml:space="preserve"> e da/per l’estero </w:t>
      </w:r>
      <w:r w:rsidR="006E4C52" w:rsidRPr="00286DC7">
        <w:rPr>
          <w:rFonts w:ascii="Arial" w:hAnsi="Arial" w:cs="Arial"/>
          <w:bCs/>
          <w:sz w:val="20"/>
          <w:szCs w:val="20"/>
        </w:rPr>
        <w:t xml:space="preserve">sono rilevati telematicamente attraverso il sistema amministrativo Anagrafe </w:t>
      </w:r>
      <w:r w:rsidR="009D566A" w:rsidRPr="00286DC7">
        <w:rPr>
          <w:rFonts w:ascii="Arial" w:hAnsi="Arial" w:cs="Arial"/>
          <w:bCs/>
          <w:sz w:val="20"/>
          <w:szCs w:val="20"/>
        </w:rPr>
        <w:t xml:space="preserve">nazionale della popolazione residente </w:t>
      </w:r>
      <w:r w:rsidR="006E4C52" w:rsidRPr="00286DC7">
        <w:rPr>
          <w:rFonts w:ascii="Arial" w:hAnsi="Arial" w:cs="Arial"/>
          <w:bCs/>
          <w:sz w:val="20"/>
          <w:szCs w:val="20"/>
        </w:rPr>
        <w:t xml:space="preserve">(ANPR, </w:t>
      </w:r>
      <w:hyperlink r:id="rId23" w:history="1">
        <w:r w:rsidR="006E4C52" w:rsidRPr="00C164AE">
          <w:rPr>
            <w:rStyle w:val="Collegamentoipertestuale"/>
            <w:rFonts w:ascii="Arial" w:hAnsi="Arial" w:cs="Arial"/>
            <w:bCs/>
            <w:sz w:val="20"/>
            <w:szCs w:val="20"/>
          </w:rPr>
          <w:t>https://www.anpr.interno.it/</w:t>
        </w:r>
      </w:hyperlink>
      <w:r w:rsidR="006E4C52" w:rsidRPr="00286DC7">
        <w:rPr>
          <w:rFonts w:ascii="Arial" w:hAnsi="Arial" w:cs="Arial"/>
          <w:bCs/>
          <w:sz w:val="20"/>
          <w:szCs w:val="20"/>
        </w:rPr>
        <w:t>), alimentato dalle notifiche di evento trasmesse dai Comuni italiani.</w:t>
      </w:r>
    </w:p>
    <w:p w14:paraId="01D60DAA" w14:textId="77777777" w:rsidR="006E4C52" w:rsidRDefault="006E4C52">
      <w:pPr>
        <w:spacing w:after="120"/>
        <w:jc w:val="both"/>
        <w:rPr>
          <w:rFonts w:ascii="Arial" w:hAnsi="Arial" w:cs="Arial"/>
          <w:bCs/>
          <w:sz w:val="20"/>
          <w:szCs w:val="20"/>
        </w:rPr>
      </w:pPr>
      <w:r>
        <w:rPr>
          <w:rFonts w:ascii="Arial" w:hAnsi="Arial" w:cs="Arial"/>
          <w:bCs/>
          <w:sz w:val="20"/>
          <w:szCs w:val="20"/>
        </w:rPr>
        <w:t>Le fonti complementari utilizzate per il calcolo dei tassi migratori sono:</w:t>
      </w:r>
    </w:p>
    <w:p w14:paraId="0BD6D4C7" w14:textId="55049ABE" w:rsidR="006E4C52" w:rsidRPr="00286DC7" w:rsidRDefault="006E4C52">
      <w:pPr>
        <w:spacing w:after="120"/>
        <w:jc w:val="both"/>
        <w:rPr>
          <w:rFonts w:ascii="Arial" w:hAnsi="Arial" w:cs="Arial"/>
          <w:bCs/>
          <w:sz w:val="20"/>
          <w:szCs w:val="20"/>
        </w:rPr>
      </w:pPr>
      <w:r w:rsidRPr="00286DC7">
        <w:rPr>
          <w:rFonts w:ascii="Arial" w:hAnsi="Arial" w:cs="Arial"/>
          <w:bCs/>
          <w:sz w:val="20"/>
          <w:szCs w:val="20"/>
        </w:rPr>
        <w:t>Stime anticipatorie degli indicatori demografici e sociali</w:t>
      </w:r>
      <w:r>
        <w:rPr>
          <w:rFonts w:ascii="Arial" w:hAnsi="Arial" w:cs="Arial"/>
          <w:bCs/>
          <w:sz w:val="20"/>
          <w:szCs w:val="20"/>
        </w:rPr>
        <w:t xml:space="preserve">. Anno </w:t>
      </w:r>
      <w:r w:rsidR="00D7021C">
        <w:rPr>
          <w:rFonts w:ascii="Arial" w:hAnsi="Arial" w:cs="Arial"/>
          <w:bCs/>
          <w:sz w:val="20"/>
          <w:szCs w:val="20"/>
        </w:rPr>
        <w:t>2024</w:t>
      </w:r>
    </w:p>
    <w:p w14:paraId="4BAD9B9B" w14:textId="0D01214D" w:rsidR="006E4C52" w:rsidRPr="00286DC7" w:rsidRDefault="006E4C52">
      <w:pPr>
        <w:spacing w:after="120"/>
        <w:jc w:val="both"/>
        <w:rPr>
          <w:rFonts w:ascii="Arial" w:hAnsi="Arial" w:cs="Arial"/>
          <w:bCs/>
          <w:sz w:val="20"/>
          <w:szCs w:val="20"/>
        </w:rPr>
      </w:pPr>
      <w:r w:rsidRPr="00286DC7">
        <w:rPr>
          <w:rFonts w:ascii="Arial" w:hAnsi="Arial" w:cs="Arial"/>
          <w:bCs/>
          <w:sz w:val="20"/>
          <w:szCs w:val="20"/>
        </w:rPr>
        <w:t>Censimento permanente della popolazione e de</w:t>
      </w:r>
      <w:r>
        <w:rPr>
          <w:rFonts w:ascii="Arial" w:hAnsi="Arial" w:cs="Arial"/>
          <w:bCs/>
          <w:sz w:val="20"/>
          <w:szCs w:val="20"/>
        </w:rPr>
        <w:t xml:space="preserve">lle abitazioni. Anni 2019, 2020, </w:t>
      </w:r>
      <w:r w:rsidRPr="00286DC7">
        <w:rPr>
          <w:rFonts w:ascii="Arial" w:hAnsi="Arial" w:cs="Arial"/>
          <w:bCs/>
          <w:sz w:val="20"/>
          <w:szCs w:val="20"/>
        </w:rPr>
        <w:t>2021</w:t>
      </w:r>
      <w:r w:rsidR="00D7021C">
        <w:rPr>
          <w:rFonts w:ascii="Arial" w:hAnsi="Arial" w:cs="Arial"/>
          <w:bCs/>
          <w:sz w:val="20"/>
          <w:szCs w:val="20"/>
        </w:rPr>
        <w:t>,</w:t>
      </w:r>
      <w:r>
        <w:rPr>
          <w:rFonts w:ascii="Arial" w:hAnsi="Arial" w:cs="Arial"/>
          <w:bCs/>
          <w:sz w:val="20"/>
          <w:szCs w:val="20"/>
        </w:rPr>
        <w:t xml:space="preserve"> 2022</w:t>
      </w:r>
      <w:r w:rsidR="00D7021C">
        <w:rPr>
          <w:rFonts w:ascii="Arial" w:hAnsi="Arial" w:cs="Arial"/>
          <w:bCs/>
          <w:sz w:val="20"/>
          <w:szCs w:val="20"/>
        </w:rPr>
        <w:t>, 2023</w:t>
      </w:r>
      <w:r w:rsidRPr="00286DC7">
        <w:rPr>
          <w:rFonts w:ascii="Arial" w:hAnsi="Arial" w:cs="Arial"/>
          <w:bCs/>
          <w:sz w:val="20"/>
          <w:szCs w:val="20"/>
        </w:rPr>
        <w:t>.</w:t>
      </w:r>
    </w:p>
    <w:p w14:paraId="5E375473" w14:textId="77777777" w:rsidR="006E4C52" w:rsidRPr="00286DC7" w:rsidRDefault="006E4C52">
      <w:pPr>
        <w:spacing w:after="120"/>
        <w:jc w:val="both"/>
        <w:rPr>
          <w:rFonts w:ascii="Arial" w:hAnsi="Arial" w:cs="Arial"/>
          <w:bCs/>
          <w:sz w:val="20"/>
          <w:szCs w:val="20"/>
        </w:rPr>
      </w:pPr>
      <w:r w:rsidRPr="00286DC7">
        <w:rPr>
          <w:rFonts w:ascii="Arial" w:hAnsi="Arial" w:cs="Arial"/>
          <w:bCs/>
          <w:sz w:val="20"/>
          <w:szCs w:val="20"/>
        </w:rPr>
        <w:t>Ricostruzione intercensuaria della popolazione residente per età, sesso e comune. Anni 2002-2019</w:t>
      </w:r>
    </w:p>
    <w:p w14:paraId="0BAFB7D1" w14:textId="2622BCD8" w:rsidR="006E4C52" w:rsidRDefault="006E4C52">
      <w:pPr>
        <w:spacing w:after="120"/>
        <w:jc w:val="both"/>
        <w:rPr>
          <w:rFonts w:ascii="Arial" w:hAnsi="Arial" w:cs="Arial"/>
          <w:bCs/>
          <w:sz w:val="20"/>
          <w:szCs w:val="20"/>
        </w:rPr>
      </w:pPr>
      <w:r w:rsidRPr="00286DC7">
        <w:rPr>
          <w:rFonts w:ascii="Arial" w:hAnsi="Arial" w:cs="Arial"/>
          <w:bCs/>
          <w:sz w:val="20"/>
          <w:szCs w:val="20"/>
        </w:rPr>
        <w:t>Ricostruzione del bilancio demografico, anni 2001-2018.</w:t>
      </w:r>
    </w:p>
    <w:p w14:paraId="6F2B7FF3" w14:textId="77777777" w:rsidR="006E4C52" w:rsidRPr="00D427A7" w:rsidRDefault="006E4C52">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Processo e metodologie</w:t>
      </w:r>
    </w:p>
    <w:p w14:paraId="72D881DD" w14:textId="705EA05B" w:rsidR="006E4C52" w:rsidRPr="00BC4D4C" w:rsidRDefault="00217C33">
      <w:pPr>
        <w:spacing w:after="120"/>
        <w:jc w:val="both"/>
        <w:rPr>
          <w:rFonts w:ascii="Arial" w:hAnsi="Arial" w:cs="Arial"/>
          <w:bCs/>
          <w:sz w:val="20"/>
          <w:szCs w:val="20"/>
        </w:rPr>
      </w:pPr>
      <w:r>
        <w:rPr>
          <w:rFonts w:ascii="Arial" w:hAnsi="Arial" w:cs="Arial"/>
          <w:bCs/>
          <w:sz w:val="20"/>
          <w:szCs w:val="20"/>
        </w:rPr>
        <w:t xml:space="preserve">L’acquisizione dei dati </w:t>
      </w:r>
      <w:r w:rsidR="006E4C52" w:rsidRPr="00BC4D4C">
        <w:rPr>
          <w:rFonts w:ascii="Arial" w:hAnsi="Arial" w:cs="Arial"/>
          <w:bCs/>
          <w:sz w:val="20"/>
          <w:szCs w:val="20"/>
        </w:rPr>
        <w:t xml:space="preserve">è </w:t>
      </w:r>
      <w:r w:rsidR="006E4C52">
        <w:rPr>
          <w:rFonts w:ascii="Arial" w:hAnsi="Arial" w:cs="Arial"/>
          <w:bCs/>
          <w:sz w:val="20"/>
          <w:szCs w:val="20"/>
        </w:rPr>
        <w:t>esaustiva e ha cadenza annuale</w:t>
      </w:r>
      <w:r w:rsidR="006E4C52" w:rsidRPr="00BC4D4C">
        <w:rPr>
          <w:rFonts w:ascii="Arial" w:hAnsi="Arial" w:cs="Arial"/>
          <w:bCs/>
          <w:sz w:val="20"/>
          <w:szCs w:val="20"/>
        </w:rPr>
        <w:t>. L</w:t>
      </w:r>
      <w:r w:rsidR="006E4C52">
        <w:rPr>
          <w:rFonts w:ascii="Arial" w:hAnsi="Arial" w:cs="Arial"/>
          <w:bCs/>
          <w:sz w:val="20"/>
          <w:szCs w:val="20"/>
        </w:rPr>
        <w:t>’</w:t>
      </w:r>
      <w:r w:rsidR="006E4C52" w:rsidRPr="00BC4D4C">
        <w:rPr>
          <w:rFonts w:ascii="Arial" w:hAnsi="Arial" w:cs="Arial"/>
          <w:bCs/>
          <w:sz w:val="20"/>
          <w:szCs w:val="20"/>
        </w:rPr>
        <w:t xml:space="preserve">unità di </w:t>
      </w:r>
      <w:r>
        <w:rPr>
          <w:rFonts w:ascii="Arial" w:hAnsi="Arial" w:cs="Arial"/>
          <w:bCs/>
          <w:sz w:val="20"/>
          <w:szCs w:val="20"/>
        </w:rPr>
        <w:t>analisi</w:t>
      </w:r>
      <w:r w:rsidR="006E4C52" w:rsidRPr="00BC4D4C">
        <w:rPr>
          <w:rFonts w:ascii="Arial" w:hAnsi="Arial" w:cs="Arial"/>
          <w:bCs/>
          <w:sz w:val="20"/>
          <w:szCs w:val="20"/>
        </w:rPr>
        <w:t xml:space="preserve"> è rappresentata dal </w:t>
      </w:r>
      <w:r w:rsidR="006E4C52">
        <w:rPr>
          <w:rFonts w:ascii="Arial" w:hAnsi="Arial" w:cs="Arial"/>
          <w:bCs/>
          <w:sz w:val="20"/>
          <w:szCs w:val="20"/>
        </w:rPr>
        <w:t>Comun</w:t>
      </w:r>
      <w:r w:rsidR="006E4C52" w:rsidRPr="00BC4D4C">
        <w:rPr>
          <w:rFonts w:ascii="Arial" w:hAnsi="Arial" w:cs="Arial"/>
          <w:bCs/>
          <w:sz w:val="20"/>
          <w:szCs w:val="20"/>
        </w:rPr>
        <w:t>e (l</w:t>
      </w:r>
      <w:r w:rsidR="006E4C52">
        <w:rPr>
          <w:rFonts w:ascii="Arial" w:hAnsi="Arial" w:cs="Arial"/>
          <w:bCs/>
          <w:sz w:val="20"/>
          <w:szCs w:val="20"/>
        </w:rPr>
        <w:t>’U</w:t>
      </w:r>
      <w:r w:rsidR="006E4C52" w:rsidRPr="00BC4D4C">
        <w:rPr>
          <w:rFonts w:ascii="Arial" w:hAnsi="Arial" w:cs="Arial"/>
          <w:bCs/>
          <w:sz w:val="20"/>
          <w:szCs w:val="20"/>
        </w:rPr>
        <w:t>fficio Anagrafe)</w:t>
      </w:r>
      <w:r w:rsidR="006E4C52">
        <w:rPr>
          <w:rFonts w:ascii="Arial" w:hAnsi="Arial" w:cs="Arial"/>
          <w:bCs/>
          <w:sz w:val="20"/>
          <w:szCs w:val="20"/>
        </w:rPr>
        <w:t xml:space="preserve"> presso cui avviene l’iscrizione o la cancellazione per trasferimento di residenza.</w:t>
      </w:r>
      <w:r w:rsidR="006E4C52" w:rsidRPr="00BC4D4C">
        <w:rPr>
          <w:rFonts w:ascii="Arial" w:hAnsi="Arial" w:cs="Arial"/>
          <w:bCs/>
          <w:sz w:val="20"/>
          <w:szCs w:val="20"/>
        </w:rPr>
        <w:t xml:space="preserve"> </w:t>
      </w:r>
      <w:r w:rsidR="006E4C52">
        <w:rPr>
          <w:rFonts w:ascii="Arial" w:hAnsi="Arial" w:cs="Arial"/>
          <w:bCs/>
          <w:sz w:val="20"/>
          <w:szCs w:val="20"/>
        </w:rPr>
        <w:t>L</w:t>
      </w:r>
      <w:r w:rsidR="006E4C52" w:rsidRPr="00BC4D4C">
        <w:rPr>
          <w:rFonts w:ascii="Arial" w:hAnsi="Arial" w:cs="Arial"/>
          <w:bCs/>
          <w:sz w:val="20"/>
          <w:szCs w:val="20"/>
        </w:rPr>
        <w:t xml:space="preserve">e unità di analisi sono rappresentate dalle iscrizioni e cancellazioni per trasferimento di residenza (tra </w:t>
      </w:r>
      <w:r w:rsidR="006E4C52">
        <w:rPr>
          <w:rFonts w:ascii="Arial" w:hAnsi="Arial" w:cs="Arial"/>
          <w:bCs/>
          <w:sz w:val="20"/>
          <w:szCs w:val="20"/>
        </w:rPr>
        <w:t>Comun</w:t>
      </w:r>
      <w:r w:rsidR="006E4C52" w:rsidRPr="00BC4D4C">
        <w:rPr>
          <w:rFonts w:ascii="Arial" w:hAnsi="Arial" w:cs="Arial"/>
          <w:bCs/>
          <w:sz w:val="20"/>
          <w:szCs w:val="20"/>
        </w:rPr>
        <w:t>i e con l</w:t>
      </w:r>
      <w:r w:rsidR="006E4C52">
        <w:rPr>
          <w:rFonts w:ascii="Arial" w:hAnsi="Arial" w:cs="Arial"/>
          <w:bCs/>
          <w:sz w:val="20"/>
          <w:szCs w:val="20"/>
        </w:rPr>
        <w:t>’</w:t>
      </w:r>
      <w:r w:rsidR="006E4C52" w:rsidRPr="00BC4D4C">
        <w:rPr>
          <w:rFonts w:ascii="Arial" w:hAnsi="Arial" w:cs="Arial"/>
          <w:bCs/>
          <w:sz w:val="20"/>
          <w:szCs w:val="20"/>
        </w:rPr>
        <w:t>estero) e dalle regolarizzazioni anagrafiche.</w:t>
      </w:r>
    </w:p>
    <w:p w14:paraId="76FAED66" w14:textId="77777777" w:rsidR="006E4C52" w:rsidRDefault="006E4C52">
      <w:pPr>
        <w:spacing w:after="120"/>
        <w:jc w:val="both"/>
        <w:rPr>
          <w:rFonts w:ascii="Arial" w:hAnsi="Arial" w:cs="Arial"/>
          <w:bCs/>
          <w:sz w:val="20"/>
          <w:szCs w:val="20"/>
        </w:rPr>
      </w:pPr>
      <w:r w:rsidRPr="00BC4D4C">
        <w:rPr>
          <w:rFonts w:ascii="Arial" w:hAnsi="Arial" w:cs="Arial"/>
          <w:bCs/>
          <w:sz w:val="20"/>
          <w:szCs w:val="20"/>
        </w:rPr>
        <w:t>Il processo di controllo e imputazione/correzione delle mancate risposte parziali/incompatibilità presenti nei modelli viene gestito centralmente e viene effettuato con procedure SAS rivolte a eliminare le principali anomalie, presenza di doppioni e le più significative incongruenze tra informazioni. I valori mancanti vengono imputati applicando la metodologia d</w:t>
      </w:r>
      <w:r>
        <w:rPr>
          <w:rFonts w:ascii="Arial" w:hAnsi="Arial" w:cs="Arial"/>
          <w:bCs/>
          <w:sz w:val="20"/>
          <w:szCs w:val="20"/>
        </w:rPr>
        <w:t xml:space="preserve">el donatore </w:t>
      </w:r>
      <w:r w:rsidRPr="00FA3C72">
        <w:rPr>
          <w:rFonts w:ascii="Arial" w:hAnsi="Arial" w:cs="Arial"/>
          <w:bCs/>
          <w:i/>
          <w:sz w:val="20"/>
          <w:szCs w:val="20"/>
        </w:rPr>
        <w:t>hot-deck</w:t>
      </w:r>
      <w:r w:rsidRPr="00BC4D4C">
        <w:rPr>
          <w:rFonts w:ascii="Arial" w:hAnsi="Arial" w:cs="Arial"/>
          <w:bCs/>
          <w:sz w:val="20"/>
          <w:szCs w:val="20"/>
        </w:rPr>
        <w:t xml:space="preserve">. </w:t>
      </w:r>
    </w:p>
    <w:p w14:paraId="241F6785" w14:textId="24D9B592" w:rsidR="002820C9" w:rsidRDefault="006E4C52">
      <w:pPr>
        <w:spacing w:after="120"/>
        <w:jc w:val="both"/>
        <w:rPr>
          <w:rFonts w:ascii="Arial" w:hAnsi="Arial" w:cs="Arial"/>
          <w:bCs/>
          <w:sz w:val="20"/>
          <w:szCs w:val="20"/>
        </w:rPr>
      </w:pPr>
      <w:r w:rsidRPr="0063342F">
        <w:rPr>
          <w:rFonts w:ascii="Arial" w:hAnsi="Arial" w:cs="Arial"/>
          <w:bCs/>
          <w:sz w:val="20"/>
          <w:szCs w:val="20"/>
        </w:rPr>
        <w:t xml:space="preserve">Il subentro dei </w:t>
      </w:r>
      <w:r w:rsidR="00911D85" w:rsidRPr="0063342F">
        <w:rPr>
          <w:rFonts w:ascii="Arial" w:hAnsi="Arial" w:cs="Arial"/>
          <w:bCs/>
          <w:sz w:val="20"/>
          <w:szCs w:val="20"/>
        </w:rPr>
        <w:t>Comuni</w:t>
      </w:r>
      <w:r w:rsidRPr="0063342F">
        <w:rPr>
          <w:rFonts w:ascii="Arial" w:hAnsi="Arial" w:cs="Arial"/>
          <w:bCs/>
          <w:sz w:val="20"/>
          <w:szCs w:val="20"/>
        </w:rPr>
        <w:t xml:space="preserve"> in </w:t>
      </w:r>
      <w:r w:rsidR="00973F43">
        <w:rPr>
          <w:rFonts w:ascii="Arial" w:hAnsi="Arial" w:cs="Arial"/>
          <w:bCs/>
          <w:sz w:val="20"/>
          <w:szCs w:val="20"/>
        </w:rPr>
        <w:t>ANPR</w:t>
      </w:r>
      <w:r w:rsidRPr="0063342F">
        <w:rPr>
          <w:rFonts w:ascii="Arial" w:hAnsi="Arial" w:cs="Arial"/>
          <w:bCs/>
          <w:sz w:val="20"/>
          <w:szCs w:val="20"/>
        </w:rPr>
        <w:t xml:space="preserve">, </w:t>
      </w:r>
      <w:r>
        <w:rPr>
          <w:rFonts w:ascii="Arial" w:hAnsi="Arial" w:cs="Arial"/>
          <w:bCs/>
          <w:sz w:val="20"/>
          <w:szCs w:val="20"/>
        </w:rPr>
        <w:t>ormai completo,</w:t>
      </w:r>
      <w:r w:rsidRPr="0063342F">
        <w:rPr>
          <w:rFonts w:ascii="Arial" w:hAnsi="Arial" w:cs="Arial"/>
          <w:bCs/>
          <w:sz w:val="20"/>
          <w:szCs w:val="20"/>
        </w:rPr>
        <w:t xml:space="preserve"> ha consentito all’ISTAT di avviare già a partire dal calcolo della popolazione riferito all’anno 2019 il processo di innovazione tecnologica e metodologica finalizzato alla produzione dei dati del bilancio demografico sulla base dei micro-dati di flusso della dinamica demografica (MIDEA_ANVIS). L’innovazione introdotta, </w:t>
      </w:r>
      <w:r w:rsidR="00973F43">
        <w:rPr>
          <w:rFonts w:ascii="Arial" w:hAnsi="Arial" w:cs="Arial"/>
          <w:bCs/>
          <w:sz w:val="20"/>
          <w:szCs w:val="20"/>
        </w:rPr>
        <w:t>già prevista nel PSN in vigore, ha consentito</w:t>
      </w:r>
      <w:r w:rsidRPr="0063342F">
        <w:rPr>
          <w:rFonts w:ascii="Arial" w:hAnsi="Arial" w:cs="Arial"/>
          <w:bCs/>
          <w:sz w:val="20"/>
          <w:szCs w:val="20"/>
        </w:rPr>
        <w:t xml:space="preserve"> il passaggio dall’ approccio di contabilità demografica basato sui macro-</w:t>
      </w:r>
      <w:r w:rsidR="00CC1EE1" w:rsidRPr="0063342F">
        <w:rPr>
          <w:rFonts w:ascii="Arial" w:hAnsi="Arial" w:cs="Arial"/>
          <w:bCs/>
          <w:sz w:val="20"/>
          <w:szCs w:val="20"/>
        </w:rPr>
        <w:t>dati al</w:t>
      </w:r>
      <w:r w:rsidRPr="0063342F">
        <w:rPr>
          <w:rFonts w:ascii="Arial" w:hAnsi="Arial" w:cs="Arial"/>
          <w:bCs/>
          <w:sz w:val="20"/>
          <w:szCs w:val="20"/>
        </w:rPr>
        <w:t xml:space="preserve"> MIcr</w:t>
      </w:r>
      <w:r w:rsidR="00973F43">
        <w:rPr>
          <w:rFonts w:ascii="Arial" w:hAnsi="Arial" w:cs="Arial"/>
          <w:bCs/>
          <w:sz w:val="20"/>
          <w:szCs w:val="20"/>
        </w:rPr>
        <w:t>oDEmographic Accounting (MIDEA)</w:t>
      </w:r>
      <w:r w:rsidRPr="0063342F">
        <w:rPr>
          <w:rFonts w:ascii="Arial" w:hAnsi="Arial" w:cs="Arial"/>
          <w:bCs/>
          <w:sz w:val="20"/>
          <w:szCs w:val="20"/>
        </w:rPr>
        <w:t xml:space="preserve">. </w:t>
      </w:r>
      <w:r>
        <w:rPr>
          <w:rFonts w:ascii="Arial" w:hAnsi="Arial" w:cs="Arial"/>
          <w:bCs/>
          <w:sz w:val="20"/>
          <w:szCs w:val="20"/>
        </w:rPr>
        <w:t>Attraverso il nuovo sistema di conteggio dei flussi migratori, i micro-dati sulle iscrizioni e cancellazioni anagrafiche sono coerenti con le corrispondenti poste aggregate del bilancio demografico a livello comunale, per sesso e cittadinanza. I</w:t>
      </w:r>
      <w:r w:rsidRPr="0063342F">
        <w:rPr>
          <w:rFonts w:ascii="Arial" w:hAnsi="Arial" w:cs="Arial"/>
          <w:bCs/>
          <w:sz w:val="20"/>
          <w:szCs w:val="20"/>
        </w:rPr>
        <w:t xml:space="preserve">l nuovo sistema di contabilità demografica, oltre ad essere funzionale all’adempimento dei regolamenti europei in materia di statistiche migratorie e demografiche, è strettamente connesso al processo di digitalizzazione centralizzata delle anagrafi (Anagrafe nazionale della popolazione residente </w:t>
      </w:r>
      <w:r>
        <w:rPr>
          <w:rFonts w:ascii="Arial" w:hAnsi="Arial" w:cs="Arial"/>
          <w:bCs/>
          <w:sz w:val="20"/>
          <w:szCs w:val="20"/>
        </w:rPr>
        <w:t>-</w:t>
      </w:r>
      <w:r w:rsidRPr="0063342F">
        <w:rPr>
          <w:rFonts w:ascii="Arial" w:hAnsi="Arial" w:cs="Arial"/>
          <w:bCs/>
          <w:sz w:val="20"/>
          <w:szCs w:val="20"/>
        </w:rPr>
        <w:t xml:space="preserve"> </w:t>
      </w:r>
      <w:r w:rsidR="00973F43">
        <w:rPr>
          <w:rFonts w:ascii="Arial" w:hAnsi="Arial" w:cs="Arial"/>
          <w:bCs/>
          <w:sz w:val="20"/>
          <w:szCs w:val="20"/>
        </w:rPr>
        <w:t>ANPR</w:t>
      </w:r>
      <w:r w:rsidRPr="0063342F">
        <w:rPr>
          <w:rFonts w:ascii="Arial" w:hAnsi="Arial" w:cs="Arial"/>
          <w:bCs/>
          <w:sz w:val="20"/>
          <w:szCs w:val="20"/>
        </w:rPr>
        <w:t xml:space="preserve"> di cui è titolare il Ministero dell’interno) e al progetto I</w:t>
      </w:r>
      <w:r w:rsidR="00C33CA5">
        <w:rPr>
          <w:rFonts w:ascii="Arial" w:hAnsi="Arial" w:cs="Arial"/>
          <w:bCs/>
          <w:sz w:val="20"/>
          <w:szCs w:val="20"/>
        </w:rPr>
        <w:t>stat</w:t>
      </w:r>
      <w:r w:rsidRPr="0063342F">
        <w:rPr>
          <w:rFonts w:ascii="Arial" w:hAnsi="Arial" w:cs="Arial"/>
          <w:bCs/>
          <w:sz w:val="20"/>
          <w:szCs w:val="20"/>
        </w:rPr>
        <w:t xml:space="preserve"> di Censimento permanente.</w:t>
      </w:r>
      <w:r>
        <w:rPr>
          <w:rFonts w:ascii="Arial" w:hAnsi="Arial" w:cs="Arial"/>
          <w:bCs/>
          <w:sz w:val="20"/>
          <w:szCs w:val="20"/>
        </w:rPr>
        <w:t xml:space="preserve"> </w:t>
      </w:r>
    </w:p>
    <w:p w14:paraId="3E8C6886" w14:textId="77777777" w:rsidR="002820C9" w:rsidRDefault="002820C9">
      <w:pPr>
        <w:rPr>
          <w:rFonts w:ascii="Arial" w:hAnsi="Arial" w:cs="Arial"/>
          <w:bCs/>
          <w:sz w:val="20"/>
          <w:szCs w:val="20"/>
        </w:rPr>
      </w:pPr>
      <w:r>
        <w:rPr>
          <w:rFonts w:ascii="Arial" w:hAnsi="Arial" w:cs="Arial"/>
          <w:bCs/>
          <w:sz w:val="20"/>
          <w:szCs w:val="20"/>
        </w:rPr>
        <w:br w:type="page"/>
      </w:r>
    </w:p>
    <w:p w14:paraId="7D6FE786" w14:textId="479810FD" w:rsidR="002F5A43" w:rsidRPr="00D427A7" w:rsidRDefault="002F5A43" w:rsidP="00194C8E">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lastRenderedPageBreak/>
        <w:t>Output informativo</w:t>
      </w:r>
    </w:p>
    <w:p w14:paraId="3B3B615C" w14:textId="049F42E9" w:rsidR="002F5A43" w:rsidRDefault="002F5A43" w:rsidP="00194C8E">
      <w:pPr>
        <w:spacing w:after="120"/>
        <w:jc w:val="both"/>
        <w:rPr>
          <w:rFonts w:ascii="Arial" w:hAnsi="Arial" w:cs="Arial"/>
          <w:bCs/>
          <w:sz w:val="20"/>
          <w:szCs w:val="20"/>
        </w:rPr>
      </w:pPr>
      <w:r w:rsidRPr="00BC4D4C">
        <w:rPr>
          <w:rFonts w:ascii="Arial" w:hAnsi="Arial" w:cs="Arial"/>
          <w:bCs/>
          <w:sz w:val="20"/>
          <w:szCs w:val="20"/>
        </w:rPr>
        <w:t>L</w:t>
      </w:r>
      <w:r>
        <w:rPr>
          <w:rFonts w:ascii="Arial" w:hAnsi="Arial" w:cs="Arial"/>
          <w:bCs/>
          <w:sz w:val="20"/>
          <w:szCs w:val="20"/>
        </w:rPr>
        <w:t>’</w:t>
      </w:r>
      <w:r w:rsidRPr="00BC4D4C">
        <w:rPr>
          <w:rFonts w:ascii="Arial" w:hAnsi="Arial" w:cs="Arial"/>
          <w:bCs/>
          <w:sz w:val="20"/>
          <w:szCs w:val="20"/>
        </w:rPr>
        <w:t xml:space="preserve">indagine fornisce annualmente le statistiche sulla mobilità residenziale tra </w:t>
      </w:r>
      <w:r>
        <w:rPr>
          <w:rFonts w:ascii="Arial" w:hAnsi="Arial" w:cs="Arial"/>
          <w:bCs/>
          <w:sz w:val="20"/>
          <w:szCs w:val="20"/>
        </w:rPr>
        <w:t>Comun</w:t>
      </w:r>
      <w:r w:rsidRPr="00BC4D4C">
        <w:rPr>
          <w:rFonts w:ascii="Arial" w:hAnsi="Arial" w:cs="Arial"/>
          <w:bCs/>
          <w:sz w:val="20"/>
          <w:szCs w:val="20"/>
        </w:rPr>
        <w:t>i italiani e i flussi migratori da e per l</w:t>
      </w:r>
      <w:r>
        <w:rPr>
          <w:rFonts w:ascii="Arial" w:hAnsi="Arial" w:cs="Arial"/>
          <w:bCs/>
          <w:sz w:val="20"/>
          <w:szCs w:val="20"/>
        </w:rPr>
        <w:t>’</w:t>
      </w:r>
      <w:r w:rsidRPr="00BC4D4C">
        <w:rPr>
          <w:rFonts w:ascii="Arial" w:hAnsi="Arial" w:cs="Arial"/>
          <w:bCs/>
          <w:sz w:val="20"/>
          <w:szCs w:val="20"/>
        </w:rPr>
        <w:t xml:space="preserve">estero, disaggregati per le principali caratteristiche socio-demografiche. </w:t>
      </w:r>
      <w:r w:rsidRPr="00034E06">
        <w:rPr>
          <w:rFonts w:ascii="Arial" w:hAnsi="Arial" w:cs="Arial"/>
          <w:bCs/>
          <w:sz w:val="20"/>
          <w:szCs w:val="20"/>
        </w:rPr>
        <w:t xml:space="preserve">Le notizie sulle persone che trasferiscono la propria residenza riguardano: il sesso, la data di nascita, il Comune o lo Stato estero di nascita, lo stato civile, il titolo di studio e la cittadinanza. </w:t>
      </w:r>
      <w:r w:rsidRPr="00BC4D4C">
        <w:rPr>
          <w:rFonts w:ascii="Arial" w:hAnsi="Arial" w:cs="Arial"/>
          <w:bCs/>
          <w:sz w:val="20"/>
          <w:szCs w:val="20"/>
        </w:rPr>
        <w:t>I microdati in diffusione riguardanti i trasferimenti di residenza con l</w:t>
      </w:r>
      <w:r>
        <w:rPr>
          <w:rFonts w:ascii="Arial" w:hAnsi="Arial" w:cs="Arial"/>
          <w:bCs/>
          <w:sz w:val="20"/>
          <w:szCs w:val="20"/>
        </w:rPr>
        <w:t>’</w:t>
      </w:r>
      <w:r w:rsidRPr="00BC4D4C">
        <w:rPr>
          <w:rFonts w:ascii="Arial" w:hAnsi="Arial" w:cs="Arial"/>
          <w:bCs/>
          <w:sz w:val="20"/>
          <w:szCs w:val="20"/>
        </w:rPr>
        <w:t xml:space="preserve">estero sono coerenti, per genere e </w:t>
      </w:r>
      <w:r>
        <w:rPr>
          <w:rFonts w:ascii="Arial" w:hAnsi="Arial" w:cs="Arial"/>
          <w:bCs/>
          <w:sz w:val="20"/>
          <w:szCs w:val="20"/>
        </w:rPr>
        <w:t>Comun</w:t>
      </w:r>
      <w:r w:rsidRPr="00BC4D4C">
        <w:rPr>
          <w:rFonts w:ascii="Arial" w:hAnsi="Arial" w:cs="Arial"/>
          <w:bCs/>
          <w:sz w:val="20"/>
          <w:szCs w:val="20"/>
        </w:rPr>
        <w:t>e, con i corrispondenti flussi migratori riportati in forma aggregata nei bilanci annuali del movimento della popolazione residente.</w:t>
      </w:r>
    </w:p>
    <w:p w14:paraId="63D330AE" w14:textId="77777777" w:rsidR="006E4C52" w:rsidRPr="00D427A7" w:rsidRDefault="006E4C52" w:rsidP="00194C8E">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Classificazioni</w:t>
      </w:r>
    </w:p>
    <w:p w14:paraId="37FF7B79" w14:textId="60696F00" w:rsidR="006E4C52" w:rsidRPr="00BC4D4C" w:rsidRDefault="006E4C52" w:rsidP="00194C8E">
      <w:pPr>
        <w:spacing w:after="120"/>
        <w:jc w:val="both"/>
        <w:rPr>
          <w:rFonts w:ascii="Arial" w:hAnsi="Arial" w:cs="Arial"/>
          <w:bCs/>
          <w:sz w:val="20"/>
          <w:szCs w:val="20"/>
        </w:rPr>
      </w:pPr>
      <w:r w:rsidRPr="00BC4D4C">
        <w:rPr>
          <w:rFonts w:ascii="Arial" w:hAnsi="Arial" w:cs="Arial"/>
          <w:bCs/>
          <w:sz w:val="20"/>
          <w:szCs w:val="20"/>
        </w:rPr>
        <w:t xml:space="preserve">Le principali classificazioni di riferimento sono quella sui Codici dei </w:t>
      </w:r>
      <w:r>
        <w:rPr>
          <w:rFonts w:ascii="Arial" w:hAnsi="Arial" w:cs="Arial"/>
          <w:bCs/>
          <w:sz w:val="20"/>
          <w:szCs w:val="20"/>
        </w:rPr>
        <w:t>Comun</w:t>
      </w:r>
      <w:r w:rsidRPr="00BC4D4C">
        <w:rPr>
          <w:rFonts w:ascii="Arial" w:hAnsi="Arial" w:cs="Arial"/>
          <w:bCs/>
          <w:sz w:val="20"/>
          <w:szCs w:val="20"/>
        </w:rPr>
        <w:t>i, delle Province, Regioni e Ripartizioni (</w:t>
      </w:r>
      <w:hyperlink r:id="rId24" w:history="1">
        <w:r w:rsidRPr="00BC4D4C">
          <w:rPr>
            <w:rStyle w:val="Collegamentoipertestuale"/>
            <w:rFonts w:ascii="Arial" w:hAnsi="Arial" w:cs="Arial"/>
            <w:bCs/>
            <w:sz w:val="20"/>
            <w:szCs w:val="20"/>
          </w:rPr>
          <w:t>http://www.istat.it/it/archivio/6789</w:t>
        </w:r>
      </w:hyperlink>
      <w:r w:rsidRPr="00BC4D4C">
        <w:rPr>
          <w:rFonts w:ascii="Arial" w:hAnsi="Arial" w:cs="Arial"/>
          <w:bCs/>
          <w:sz w:val="20"/>
          <w:szCs w:val="20"/>
        </w:rPr>
        <w:t>) e quella sulla Classificazione degli Stati esteri (</w:t>
      </w:r>
      <w:hyperlink r:id="rId25" w:history="1">
        <w:r w:rsidRPr="00BC4D4C">
          <w:rPr>
            <w:rStyle w:val="Collegamentoipertestuale"/>
            <w:rFonts w:ascii="Arial" w:hAnsi="Arial" w:cs="Arial"/>
            <w:bCs/>
            <w:sz w:val="20"/>
            <w:szCs w:val="20"/>
          </w:rPr>
          <w:t>http://www.istat.it/it/archivio/6747</w:t>
        </w:r>
      </w:hyperlink>
      <w:r w:rsidRPr="00BC4D4C">
        <w:rPr>
          <w:rFonts w:ascii="Arial" w:hAnsi="Arial" w:cs="Arial"/>
          <w:bCs/>
          <w:sz w:val="20"/>
          <w:szCs w:val="20"/>
        </w:rPr>
        <w:t>). La classificazione dell</w:t>
      </w:r>
      <w:r>
        <w:rPr>
          <w:rFonts w:ascii="Arial" w:hAnsi="Arial" w:cs="Arial"/>
          <w:bCs/>
          <w:sz w:val="20"/>
          <w:szCs w:val="20"/>
        </w:rPr>
        <w:t>’</w:t>
      </w:r>
      <w:r w:rsidRPr="00BC4D4C">
        <w:rPr>
          <w:rFonts w:ascii="Arial" w:hAnsi="Arial" w:cs="Arial"/>
          <w:bCs/>
          <w:sz w:val="20"/>
          <w:szCs w:val="20"/>
        </w:rPr>
        <w:t>età, quando non diversamente indicato, è in anni compiuti al momento del trasferimento di residenza.</w:t>
      </w:r>
    </w:p>
    <w:p w14:paraId="779A672D" w14:textId="52970D0C" w:rsidR="006E4C52" w:rsidRDefault="006E4C52" w:rsidP="00194C8E">
      <w:pPr>
        <w:spacing w:after="120"/>
        <w:jc w:val="both"/>
        <w:rPr>
          <w:rFonts w:ascii="Arial" w:hAnsi="Arial" w:cs="Arial"/>
          <w:bCs/>
          <w:sz w:val="20"/>
          <w:szCs w:val="20"/>
        </w:rPr>
      </w:pPr>
      <w:r w:rsidRPr="00BC4D4C">
        <w:rPr>
          <w:rFonts w:ascii="Arial" w:hAnsi="Arial" w:cs="Arial"/>
          <w:bCs/>
          <w:sz w:val="20"/>
          <w:szCs w:val="20"/>
        </w:rPr>
        <w:t xml:space="preserve">La classificazione del titolo di studio è la seguente: nessun titolo/licenza elementare; licenza media inferiore; diploma di scuola media superiore; laurea triennale (breve); diploma di laurea/laurea specialistica; dottorato di ricerca. </w:t>
      </w:r>
    </w:p>
    <w:p w14:paraId="6F7AEBE1" w14:textId="77777777" w:rsidR="00F258A3" w:rsidRDefault="006E4C52" w:rsidP="00194C8E">
      <w:pPr>
        <w:spacing w:after="120"/>
        <w:jc w:val="both"/>
        <w:rPr>
          <w:rFonts w:ascii="Arial" w:hAnsi="Arial" w:cs="Arial"/>
          <w:b/>
          <w:bCs/>
          <w:color w:val="1F497D" w:themeColor="text2"/>
          <w:sz w:val="22"/>
          <w:szCs w:val="22"/>
        </w:rPr>
      </w:pPr>
      <w:r w:rsidRPr="00E6106C">
        <w:rPr>
          <w:rFonts w:ascii="Arial" w:hAnsi="Arial" w:cs="Arial"/>
          <w:b/>
          <w:bCs/>
          <w:color w:val="1F497D" w:themeColor="text2"/>
          <w:sz w:val="22"/>
          <w:szCs w:val="22"/>
        </w:rPr>
        <w:t>Dettaglio territoriale</w:t>
      </w:r>
      <w:r w:rsidR="00F258A3">
        <w:rPr>
          <w:rFonts w:ascii="Arial" w:hAnsi="Arial" w:cs="Arial"/>
          <w:b/>
          <w:bCs/>
          <w:color w:val="1F497D" w:themeColor="text2"/>
          <w:sz w:val="22"/>
          <w:szCs w:val="22"/>
        </w:rPr>
        <w:t xml:space="preserve"> </w:t>
      </w:r>
    </w:p>
    <w:p w14:paraId="7975111F" w14:textId="32CEA242" w:rsidR="006E4C52" w:rsidRDefault="006E4C52" w:rsidP="00194C8E">
      <w:pPr>
        <w:spacing w:after="120"/>
        <w:jc w:val="both"/>
        <w:rPr>
          <w:rFonts w:ascii="Arial" w:hAnsi="Arial" w:cs="Arial"/>
          <w:bCs/>
          <w:sz w:val="20"/>
          <w:szCs w:val="20"/>
        </w:rPr>
      </w:pPr>
      <w:r w:rsidRPr="00267669">
        <w:rPr>
          <w:rFonts w:ascii="Arial" w:hAnsi="Arial" w:cs="Arial"/>
          <w:bCs/>
          <w:sz w:val="20"/>
          <w:szCs w:val="20"/>
        </w:rPr>
        <w:t xml:space="preserve">I dati sono rilevati a livello comunale. Le statistiche sono disponibili a livello nazionale, di ripartizione geografica, di regione e di provincia. </w:t>
      </w:r>
    </w:p>
    <w:p w14:paraId="1B1EC222" w14:textId="77777777" w:rsidR="006E4C52" w:rsidRPr="00E6106C" w:rsidRDefault="006E4C52" w:rsidP="00194C8E">
      <w:pPr>
        <w:spacing w:after="120"/>
        <w:jc w:val="both"/>
        <w:rPr>
          <w:rFonts w:ascii="Arial" w:hAnsi="Arial" w:cs="Arial"/>
          <w:b/>
          <w:bCs/>
          <w:color w:val="1F497D" w:themeColor="text2"/>
          <w:sz w:val="22"/>
          <w:szCs w:val="22"/>
        </w:rPr>
      </w:pPr>
      <w:r w:rsidRPr="00267669">
        <w:rPr>
          <w:rFonts w:ascii="Arial" w:hAnsi="Arial" w:cs="Arial"/>
          <w:b/>
          <w:bCs/>
          <w:color w:val="1F497D" w:themeColor="text2"/>
          <w:sz w:val="22"/>
          <w:szCs w:val="22"/>
        </w:rPr>
        <w:t>Tempestività</w:t>
      </w:r>
    </w:p>
    <w:p w14:paraId="060A4D2D" w14:textId="4C6F14D4" w:rsidR="006E4C52" w:rsidRDefault="006E4C52" w:rsidP="00194C8E">
      <w:pPr>
        <w:spacing w:after="120"/>
        <w:jc w:val="both"/>
        <w:rPr>
          <w:rFonts w:ascii="Arial" w:hAnsi="Arial" w:cs="Arial"/>
          <w:bCs/>
          <w:sz w:val="20"/>
          <w:szCs w:val="20"/>
        </w:rPr>
      </w:pPr>
      <w:r>
        <w:rPr>
          <w:rFonts w:ascii="Arial" w:hAnsi="Arial" w:cs="Arial"/>
          <w:bCs/>
          <w:sz w:val="20"/>
          <w:szCs w:val="20"/>
        </w:rPr>
        <w:t>I dati relativi all’anno 202</w:t>
      </w:r>
      <w:r w:rsidR="004862A4">
        <w:rPr>
          <w:rFonts w:ascii="Arial" w:hAnsi="Arial" w:cs="Arial"/>
          <w:bCs/>
          <w:sz w:val="20"/>
          <w:szCs w:val="20"/>
        </w:rPr>
        <w:t>3</w:t>
      </w:r>
      <w:r>
        <w:rPr>
          <w:rFonts w:ascii="Arial" w:hAnsi="Arial" w:cs="Arial"/>
          <w:bCs/>
          <w:sz w:val="20"/>
          <w:szCs w:val="20"/>
        </w:rPr>
        <w:t xml:space="preserve"> sono diffusi come definitivi a circa </w:t>
      </w:r>
      <w:r w:rsidR="002820C9">
        <w:rPr>
          <w:rFonts w:ascii="Arial" w:hAnsi="Arial" w:cs="Arial"/>
          <w:bCs/>
          <w:sz w:val="20"/>
          <w:szCs w:val="20"/>
        </w:rPr>
        <w:t>11</w:t>
      </w:r>
      <w:r>
        <w:rPr>
          <w:rFonts w:ascii="Arial" w:hAnsi="Arial" w:cs="Arial"/>
          <w:bCs/>
          <w:sz w:val="20"/>
          <w:szCs w:val="20"/>
        </w:rPr>
        <w:t xml:space="preserve"> mesi di distanza. I dati relativi all’anno 202</w:t>
      </w:r>
      <w:r w:rsidR="004862A4">
        <w:rPr>
          <w:rFonts w:ascii="Arial" w:hAnsi="Arial" w:cs="Arial"/>
          <w:bCs/>
          <w:sz w:val="20"/>
          <w:szCs w:val="20"/>
        </w:rPr>
        <w:t>4</w:t>
      </w:r>
      <w:r>
        <w:rPr>
          <w:rFonts w:ascii="Arial" w:hAnsi="Arial" w:cs="Arial"/>
          <w:bCs/>
          <w:sz w:val="20"/>
          <w:szCs w:val="20"/>
        </w:rPr>
        <w:t xml:space="preserve"> sono diffusi come provvisori a circa tre mesi dal termine dell’ultimo periodo di riferimento. </w:t>
      </w:r>
      <w:r w:rsidRPr="00267669">
        <w:rPr>
          <w:rFonts w:ascii="Arial" w:hAnsi="Arial" w:cs="Arial"/>
          <w:bCs/>
          <w:sz w:val="20"/>
          <w:szCs w:val="20"/>
        </w:rPr>
        <w:t xml:space="preserve">Per </w:t>
      </w:r>
      <w:r>
        <w:rPr>
          <w:rFonts w:ascii="Arial" w:hAnsi="Arial" w:cs="Arial"/>
          <w:bCs/>
          <w:sz w:val="20"/>
          <w:szCs w:val="20"/>
        </w:rPr>
        <w:t>i dati</w:t>
      </w:r>
      <w:r w:rsidRPr="00267669">
        <w:rPr>
          <w:rFonts w:ascii="Arial" w:hAnsi="Arial" w:cs="Arial"/>
          <w:bCs/>
          <w:sz w:val="20"/>
          <w:szCs w:val="20"/>
        </w:rPr>
        <w:t xml:space="preserve"> del 202</w:t>
      </w:r>
      <w:r w:rsidR="004862A4">
        <w:rPr>
          <w:rFonts w:ascii="Arial" w:hAnsi="Arial" w:cs="Arial"/>
          <w:bCs/>
          <w:sz w:val="20"/>
          <w:szCs w:val="20"/>
        </w:rPr>
        <w:t>4</w:t>
      </w:r>
      <w:r w:rsidRPr="00267669">
        <w:rPr>
          <w:rFonts w:ascii="Arial" w:hAnsi="Arial" w:cs="Arial"/>
          <w:bCs/>
          <w:sz w:val="20"/>
          <w:szCs w:val="20"/>
        </w:rPr>
        <w:t>, il consolidamento dei flussi della banca dati è avvenuto ai primi di marzo 202</w:t>
      </w:r>
      <w:r w:rsidR="004862A4">
        <w:rPr>
          <w:rFonts w:ascii="Arial" w:hAnsi="Arial" w:cs="Arial"/>
          <w:bCs/>
          <w:sz w:val="20"/>
          <w:szCs w:val="20"/>
        </w:rPr>
        <w:t>5</w:t>
      </w:r>
      <w:r w:rsidRPr="00267669">
        <w:rPr>
          <w:rFonts w:ascii="Arial" w:hAnsi="Arial" w:cs="Arial"/>
          <w:bCs/>
          <w:sz w:val="20"/>
          <w:szCs w:val="20"/>
        </w:rPr>
        <w:t>. Eventi dell’anno 202</w:t>
      </w:r>
      <w:r w:rsidR="004862A4">
        <w:rPr>
          <w:rFonts w:ascii="Arial" w:hAnsi="Arial" w:cs="Arial"/>
          <w:bCs/>
          <w:sz w:val="20"/>
          <w:szCs w:val="20"/>
        </w:rPr>
        <w:t>4</w:t>
      </w:r>
      <w:r w:rsidRPr="00267669">
        <w:rPr>
          <w:rFonts w:ascii="Arial" w:hAnsi="Arial" w:cs="Arial"/>
          <w:bCs/>
          <w:sz w:val="20"/>
          <w:szCs w:val="20"/>
        </w:rPr>
        <w:t xml:space="preserve"> non registrati in Anagrafe entro tale data non sono conteggiati nel presente </w:t>
      </w:r>
      <w:r>
        <w:rPr>
          <w:rFonts w:ascii="Arial" w:hAnsi="Arial" w:cs="Arial"/>
          <w:bCs/>
          <w:sz w:val="20"/>
          <w:szCs w:val="20"/>
        </w:rPr>
        <w:t>report e nella relativa diffusione</w:t>
      </w:r>
      <w:r w:rsidRPr="00267669">
        <w:rPr>
          <w:rFonts w:ascii="Arial" w:hAnsi="Arial" w:cs="Arial"/>
          <w:bCs/>
          <w:sz w:val="20"/>
          <w:szCs w:val="20"/>
        </w:rPr>
        <w:t>.</w:t>
      </w:r>
      <w:r>
        <w:rPr>
          <w:rFonts w:ascii="Arial" w:hAnsi="Arial" w:cs="Arial"/>
          <w:bCs/>
          <w:sz w:val="20"/>
          <w:szCs w:val="20"/>
        </w:rPr>
        <w:t xml:space="preserve"> </w:t>
      </w:r>
      <w:r w:rsidRPr="00267669">
        <w:rPr>
          <w:rFonts w:ascii="Arial" w:hAnsi="Arial" w:cs="Arial"/>
          <w:bCs/>
          <w:sz w:val="20"/>
          <w:szCs w:val="20"/>
        </w:rPr>
        <w:t>Il dato definitivo sarà rilasciato a completamento delle operazioni di riallineamento statistico con le risultanze dell’edizione 202</w:t>
      </w:r>
      <w:r w:rsidR="004862A4">
        <w:rPr>
          <w:rFonts w:ascii="Arial" w:hAnsi="Arial" w:cs="Arial"/>
          <w:bCs/>
          <w:sz w:val="20"/>
          <w:szCs w:val="20"/>
        </w:rPr>
        <w:t>4</w:t>
      </w:r>
      <w:r w:rsidRPr="00267669">
        <w:rPr>
          <w:rFonts w:ascii="Arial" w:hAnsi="Arial" w:cs="Arial"/>
          <w:bCs/>
          <w:sz w:val="20"/>
          <w:szCs w:val="20"/>
        </w:rPr>
        <w:t xml:space="preserve"> del Censimento permanente della </w:t>
      </w:r>
      <w:r>
        <w:rPr>
          <w:rFonts w:ascii="Arial" w:hAnsi="Arial" w:cs="Arial"/>
          <w:bCs/>
          <w:sz w:val="20"/>
          <w:szCs w:val="20"/>
        </w:rPr>
        <w:t>popolazione e delle abitazioni.</w:t>
      </w:r>
    </w:p>
    <w:p w14:paraId="543F5B03" w14:textId="77777777" w:rsidR="006E4C52" w:rsidRPr="00BC4D4C" w:rsidRDefault="006E4C52" w:rsidP="00194C8E">
      <w:pPr>
        <w:spacing w:after="120"/>
        <w:jc w:val="both"/>
        <w:rPr>
          <w:rFonts w:ascii="Arial" w:hAnsi="Arial" w:cs="Arial"/>
          <w:b/>
          <w:bCs/>
          <w:sz w:val="20"/>
          <w:szCs w:val="20"/>
        </w:rPr>
      </w:pPr>
      <w:r>
        <w:rPr>
          <w:rFonts w:ascii="Arial" w:hAnsi="Arial" w:cs="Arial"/>
          <w:b/>
          <w:bCs/>
          <w:color w:val="1F497D" w:themeColor="text2"/>
          <w:sz w:val="22"/>
          <w:szCs w:val="22"/>
        </w:rPr>
        <w:t>D</w:t>
      </w:r>
      <w:r w:rsidRPr="00D427A7">
        <w:rPr>
          <w:rFonts w:ascii="Arial" w:hAnsi="Arial" w:cs="Arial"/>
          <w:b/>
          <w:bCs/>
          <w:color w:val="1F497D" w:themeColor="text2"/>
          <w:sz w:val="22"/>
          <w:szCs w:val="22"/>
        </w:rPr>
        <w:t xml:space="preserve">iffusione </w:t>
      </w:r>
    </w:p>
    <w:p w14:paraId="1D936D9D" w14:textId="2C312E62" w:rsidR="006E4C52" w:rsidRPr="00BC4D4C" w:rsidRDefault="006E4C52" w:rsidP="00194C8E">
      <w:pPr>
        <w:spacing w:after="120"/>
        <w:jc w:val="both"/>
        <w:rPr>
          <w:rFonts w:ascii="Arial" w:hAnsi="Arial" w:cs="Arial"/>
          <w:bCs/>
          <w:sz w:val="20"/>
          <w:szCs w:val="20"/>
        </w:rPr>
      </w:pPr>
      <w:r>
        <w:rPr>
          <w:rFonts w:ascii="Arial" w:hAnsi="Arial" w:cs="Arial"/>
          <w:bCs/>
          <w:sz w:val="20"/>
          <w:szCs w:val="20"/>
        </w:rPr>
        <w:t>Le</w:t>
      </w:r>
      <w:r w:rsidRPr="00BC4D4C">
        <w:rPr>
          <w:rFonts w:ascii="Arial" w:hAnsi="Arial" w:cs="Arial"/>
          <w:bCs/>
          <w:sz w:val="20"/>
          <w:szCs w:val="20"/>
        </w:rPr>
        <w:t xml:space="preserve"> statistiche </w:t>
      </w:r>
      <w:r>
        <w:rPr>
          <w:rFonts w:ascii="Arial" w:hAnsi="Arial" w:cs="Arial"/>
          <w:bCs/>
          <w:sz w:val="20"/>
          <w:szCs w:val="20"/>
        </w:rPr>
        <w:t xml:space="preserve">sulla mobilità residenziale interna e con l’estero </w:t>
      </w:r>
      <w:r w:rsidRPr="00BC4D4C">
        <w:rPr>
          <w:rFonts w:ascii="Arial" w:hAnsi="Arial" w:cs="Arial"/>
          <w:bCs/>
          <w:sz w:val="20"/>
          <w:szCs w:val="20"/>
        </w:rPr>
        <w:t xml:space="preserve">sono regolarmente diffuse </w:t>
      </w:r>
      <w:r w:rsidRPr="00034E06">
        <w:rPr>
          <w:rFonts w:ascii="Arial" w:hAnsi="Arial" w:cs="Arial"/>
          <w:bCs/>
          <w:sz w:val="20"/>
          <w:szCs w:val="20"/>
        </w:rPr>
        <w:t>su</w:t>
      </w:r>
      <w:r w:rsidR="0075474F">
        <w:rPr>
          <w:rFonts w:ascii="Arial" w:hAnsi="Arial" w:cs="Arial"/>
          <w:bCs/>
          <w:sz w:val="20"/>
          <w:szCs w:val="20"/>
        </w:rPr>
        <w:t xml:space="preserve"> </w:t>
      </w:r>
      <w:hyperlink r:id="rId26" w:history="1">
        <w:r w:rsidR="0075474F" w:rsidRPr="0075474F">
          <w:rPr>
            <w:rStyle w:val="Collegamentoipertestuale"/>
            <w:rFonts w:ascii="Arial" w:hAnsi="Arial" w:cs="Arial"/>
            <w:bCs/>
            <w:sz w:val="20"/>
            <w:szCs w:val="20"/>
          </w:rPr>
          <w:t xml:space="preserve">Istat.it </w:t>
        </w:r>
        <w:bookmarkStart w:id="6" w:name="_Hlk166852636"/>
      </w:hyperlink>
      <w:bookmarkEnd w:id="6"/>
      <w:r w:rsidRPr="00034E06">
        <w:rPr>
          <w:rFonts w:ascii="Arial" w:hAnsi="Arial" w:cs="Arial"/>
          <w:bCs/>
          <w:sz w:val="20"/>
          <w:szCs w:val="20"/>
        </w:rPr>
        <w:t xml:space="preserve">oltre che sul sito tematico </w:t>
      </w:r>
      <w:hyperlink r:id="rId27" w:history="1">
        <w:r w:rsidRPr="00C70BCF">
          <w:rPr>
            <w:rStyle w:val="Collegamentoipertestuale"/>
            <w:rFonts w:ascii="Arial" w:hAnsi="Arial" w:cs="Arial"/>
            <w:bCs/>
            <w:sz w:val="20"/>
            <w:szCs w:val="20"/>
          </w:rPr>
          <w:t>https://demo.istat.it/</w:t>
        </w:r>
      </w:hyperlink>
      <w:r>
        <w:rPr>
          <w:rFonts w:ascii="Arial" w:hAnsi="Arial" w:cs="Arial"/>
          <w:bCs/>
          <w:sz w:val="20"/>
          <w:szCs w:val="20"/>
        </w:rPr>
        <w:t xml:space="preserve">. </w:t>
      </w:r>
    </w:p>
    <w:p w14:paraId="3BE0EC9D" w14:textId="68FA63ED" w:rsidR="006E4C52" w:rsidRPr="00BC4D4C" w:rsidRDefault="006E4C52" w:rsidP="00194C8E">
      <w:pPr>
        <w:spacing w:after="120"/>
        <w:jc w:val="both"/>
        <w:rPr>
          <w:rFonts w:ascii="Arial" w:hAnsi="Arial" w:cs="Arial"/>
          <w:bCs/>
          <w:sz w:val="20"/>
          <w:szCs w:val="20"/>
        </w:rPr>
      </w:pPr>
      <w:r w:rsidRPr="00BC4D4C">
        <w:rPr>
          <w:rFonts w:ascii="Arial" w:hAnsi="Arial" w:cs="Arial"/>
          <w:bCs/>
          <w:sz w:val="20"/>
          <w:szCs w:val="20"/>
        </w:rPr>
        <w:t xml:space="preserve">Inoltre, a conclusione del processo produttivo, con cadenza annuale e in forma definitiva, i risultati ottenuti vengono pubblicati attraverso </w:t>
      </w:r>
      <w:r>
        <w:rPr>
          <w:rFonts w:ascii="Arial" w:hAnsi="Arial" w:cs="Arial"/>
          <w:bCs/>
          <w:sz w:val="20"/>
          <w:szCs w:val="20"/>
        </w:rPr>
        <w:t xml:space="preserve">la </w:t>
      </w:r>
      <w:r w:rsidRPr="00BC4D4C">
        <w:rPr>
          <w:rFonts w:ascii="Arial" w:hAnsi="Arial" w:cs="Arial"/>
          <w:bCs/>
          <w:sz w:val="20"/>
          <w:szCs w:val="20"/>
        </w:rPr>
        <w:t>Statistica Report “Migrazioni interne e internazionali della popolazione residente”</w:t>
      </w:r>
      <w:r w:rsidR="002820C9">
        <w:rPr>
          <w:rFonts w:ascii="Arial" w:hAnsi="Arial" w:cs="Arial"/>
          <w:bCs/>
          <w:sz w:val="20"/>
          <w:szCs w:val="20"/>
        </w:rPr>
        <w:t>.</w:t>
      </w:r>
    </w:p>
    <w:p w14:paraId="3EE20EF0" w14:textId="77777777" w:rsidR="006E4C52" w:rsidRPr="00BC4D4C" w:rsidRDefault="006E4C52" w:rsidP="00194C8E">
      <w:pPr>
        <w:spacing w:after="120"/>
        <w:jc w:val="both"/>
        <w:rPr>
          <w:rFonts w:ascii="Arial" w:hAnsi="Arial" w:cs="Arial"/>
          <w:bCs/>
          <w:sz w:val="20"/>
          <w:szCs w:val="20"/>
        </w:rPr>
      </w:pPr>
      <w:r w:rsidRPr="009E7CB7">
        <w:rPr>
          <w:rFonts w:ascii="Arial" w:hAnsi="Arial" w:cs="Arial"/>
          <w:bCs/>
          <w:sz w:val="20"/>
          <w:szCs w:val="20"/>
        </w:rPr>
        <w:t>Parte dei dati risultano consultabili anche sul sito di Eurostat in conformità al Regolamento europeo 1260/2013 sulle statistiche demografiche.</w:t>
      </w:r>
      <w:r>
        <w:rPr>
          <w:rFonts w:ascii="Arial" w:hAnsi="Arial" w:cs="Arial"/>
          <w:bCs/>
          <w:sz w:val="20"/>
          <w:szCs w:val="20"/>
        </w:rPr>
        <w:t xml:space="preserve"> Parte degli output sono diffusi nelle pubblicazioni “</w:t>
      </w:r>
      <w:r w:rsidRPr="009E7CB7">
        <w:rPr>
          <w:rFonts w:ascii="Arial" w:hAnsi="Arial" w:cs="Arial"/>
          <w:bCs/>
          <w:sz w:val="20"/>
          <w:szCs w:val="20"/>
        </w:rPr>
        <w:t>Annuario statistico italiano</w:t>
      </w:r>
      <w:r>
        <w:rPr>
          <w:rFonts w:ascii="Arial" w:hAnsi="Arial" w:cs="Arial"/>
          <w:bCs/>
          <w:sz w:val="20"/>
          <w:szCs w:val="20"/>
        </w:rPr>
        <w:t xml:space="preserve">”, “Rapporto Annuale”, </w:t>
      </w:r>
      <w:r w:rsidRPr="009E7CB7">
        <w:rPr>
          <w:rFonts w:ascii="Arial" w:hAnsi="Arial" w:cs="Arial"/>
          <w:bCs/>
          <w:sz w:val="20"/>
          <w:szCs w:val="20"/>
        </w:rPr>
        <w:t xml:space="preserve">“Noi Italia”: </w:t>
      </w:r>
      <w:hyperlink r:id="rId28" w:history="1">
        <w:r w:rsidRPr="00C70BCF">
          <w:rPr>
            <w:rStyle w:val="Collegamentoipertestuale"/>
            <w:rFonts w:ascii="Arial" w:hAnsi="Arial" w:cs="Arial"/>
            <w:bCs/>
            <w:sz w:val="20"/>
            <w:szCs w:val="20"/>
          </w:rPr>
          <w:t>http://noi-italia.istat.it/</w:t>
        </w:r>
      </w:hyperlink>
      <w:r w:rsidRPr="009E7CB7">
        <w:rPr>
          <w:rFonts w:ascii="Arial" w:hAnsi="Arial" w:cs="Arial"/>
          <w:bCs/>
          <w:sz w:val="20"/>
          <w:szCs w:val="20"/>
        </w:rPr>
        <w:t>.</w:t>
      </w:r>
      <w:r>
        <w:rPr>
          <w:rFonts w:ascii="Arial" w:hAnsi="Arial" w:cs="Arial"/>
          <w:bCs/>
          <w:sz w:val="20"/>
          <w:szCs w:val="20"/>
        </w:rPr>
        <w:t xml:space="preserve"> </w:t>
      </w:r>
    </w:p>
    <w:p w14:paraId="0163E71B" w14:textId="77777777" w:rsidR="006E4C52" w:rsidRDefault="006E4C52" w:rsidP="00194C8E">
      <w:pPr>
        <w:spacing w:after="120"/>
        <w:jc w:val="both"/>
        <w:rPr>
          <w:rFonts w:ascii="Arial" w:hAnsi="Arial" w:cs="Arial"/>
          <w:bCs/>
          <w:sz w:val="20"/>
          <w:szCs w:val="20"/>
        </w:rPr>
      </w:pPr>
      <w:r w:rsidRPr="00BC4D4C">
        <w:rPr>
          <w:rFonts w:ascii="Arial" w:hAnsi="Arial" w:cs="Arial"/>
          <w:bCs/>
          <w:sz w:val="20"/>
          <w:szCs w:val="20"/>
        </w:rPr>
        <w:t>I dati elementari rilevati nel corso dell</w:t>
      </w:r>
      <w:r>
        <w:rPr>
          <w:rFonts w:ascii="Arial" w:hAnsi="Arial" w:cs="Arial"/>
          <w:bCs/>
          <w:sz w:val="20"/>
          <w:szCs w:val="20"/>
        </w:rPr>
        <w:t>’</w:t>
      </w:r>
      <w:r w:rsidRPr="00BC4D4C">
        <w:rPr>
          <w:rFonts w:ascii="Arial" w:hAnsi="Arial" w:cs="Arial"/>
          <w:bCs/>
          <w:sz w:val="20"/>
          <w:szCs w:val="20"/>
        </w:rPr>
        <w:t>indagine sono resi disponibili per gli utenti che ne facciano richiesta. In ogni caso, i dati sono rilasciati in forma anonima.</w:t>
      </w:r>
    </w:p>
    <w:p w14:paraId="35BE85BB" w14:textId="77777777" w:rsidR="006E4C52" w:rsidRDefault="006E4C52" w:rsidP="00194C8E">
      <w:pPr>
        <w:pStyle w:val="NormaleWeb"/>
        <w:spacing w:before="0" w:beforeAutospacing="0" w:after="120" w:afterAutospacing="0"/>
        <w:jc w:val="both"/>
        <w:rPr>
          <w:rFonts w:ascii="Georgia" w:hAnsi="Georgia"/>
          <w:bCs/>
          <w:color w:val="1F497D" w:themeColor="text2"/>
          <w:sz w:val="36"/>
          <w:szCs w:val="36"/>
        </w:rPr>
      </w:pPr>
    </w:p>
    <w:p w14:paraId="0D97AAAF" w14:textId="2D7BFA15" w:rsidR="0025480B" w:rsidRDefault="00194C8E" w:rsidP="00194C8E">
      <w:pPr>
        <w:autoSpaceDE w:val="0"/>
        <w:autoSpaceDN w:val="0"/>
        <w:adjustRightInd w:val="0"/>
        <w:spacing w:after="120"/>
        <w:jc w:val="both"/>
        <w:outlineLvl w:val="0"/>
        <w:rPr>
          <w:rFonts w:ascii="Georgia" w:hAnsi="Georgia"/>
          <w:bCs/>
          <w:color w:val="1F497D" w:themeColor="text2"/>
          <w:sz w:val="36"/>
          <w:szCs w:val="36"/>
        </w:rPr>
      </w:pPr>
      <w:r>
        <w:rPr>
          <w:rFonts w:ascii="Georgia" w:hAnsi="Georgia"/>
          <w:bCs/>
          <w:color w:val="1F497D" w:themeColor="text2"/>
          <w:sz w:val="36"/>
          <w:szCs w:val="36"/>
        </w:rPr>
        <w:t>Note</w:t>
      </w:r>
    </w:p>
    <w:sectPr w:rsidR="0025480B" w:rsidSect="00E02A7A">
      <w:footerReference w:type="default" r:id="rId29"/>
      <w:type w:val="continuous"/>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71386" w14:textId="77777777" w:rsidR="00713F70" w:rsidRDefault="00713F70">
      <w:r>
        <w:separator/>
      </w:r>
    </w:p>
  </w:endnote>
  <w:endnote w:type="continuationSeparator" w:id="0">
    <w:p w14:paraId="2A73E911" w14:textId="77777777" w:rsidR="00713F70" w:rsidRDefault="00713F70">
      <w:r>
        <w:continuationSeparator/>
      </w:r>
    </w:p>
  </w:endnote>
  <w:endnote w:id="1">
    <w:p w14:paraId="6D66B295" w14:textId="330B6B1A" w:rsidR="00C23107" w:rsidRPr="000F2CE6" w:rsidRDefault="00C23107" w:rsidP="000F2CE6">
      <w:pPr>
        <w:pStyle w:val="Testonotadichiusura"/>
        <w:spacing w:after="120"/>
        <w:jc w:val="both"/>
        <w:rPr>
          <w:rFonts w:ascii="Arial" w:hAnsi="Arial" w:cs="Arial"/>
          <w:sz w:val="18"/>
        </w:rPr>
      </w:pPr>
      <w:r w:rsidRPr="000F2CE6">
        <w:rPr>
          <w:rStyle w:val="Rimandonotadichiusura"/>
          <w:rFonts w:ascii="Arial" w:hAnsi="Arial" w:cs="Arial"/>
          <w:sz w:val="18"/>
        </w:rPr>
        <w:endnoteRef/>
      </w:r>
      <w:r w:rsidRPr="000F2CE6">
        <w:rPr>
          <w:rFonts w:ascii="Arial" w:hAnsi="Arial" w:cs="Arial"/>
          <w:sz w:val="18"/>
        </w:rPr>
        <w:t xml:space="preserve"> </w:t>
      </w:r>
      <w:r w:rsidRPr="000F2CE6">
        <w:rPr>
          <w:rFonts w:ascii="Arial" w:hAnsi="Arial" w:cs="Arial"/>
          <w:bCs/>
          <w:sz w:val="18"/>
        </w:rPr>
        <w:t>La misura delle emigrazioni dei cittadini stranieri può risultare in parte condizionata da sotto-copertura del fenomeno, stante, a volte, la mancata comunicazione del diretto interessato presso il Comune di iscrizione anagrafica della volontà di lasciare il territorio nazionale. Dalle risultanze del Censimento permanente della popolazione e delle abitazioni 2023 emerge una quota complessiva di circa 54mila cittadini stranieri sovra-coperti, ovvero di cittadini iscritti in anagrafe ma non abitualmente dimoranti. Si tratta, in particolare, di cittadini che nel corso dell’ultimo triennio (2021-2023) non presentano alcun “segnale di vita” amministrativo e, in quanto tali, da ritenersi non più residenti nel territorio nazionale. Ovviamente, le motivazioni della loro assenza non possono ricondursi al solo fatto di essere emigrati all’estero nel periodo in questione. Potrebbe, infatti, trattarsi di soggetti deceduti di cui non si sia avuto riscontro, di posizioni anagrafiche erronee o incomplete (ad esempio soggetti duplicati in anagrafe o presenti in più Comuni, sulla base di dati anagrafici trascritti incompleti o imprecisi, aspetto tutt’altro che infrequente per particolari cittadinanze estere) o irregolari (come nel caso di cittadini temporaneamente presenti sul territorio nazionale che in realtà non presentano i requisiti per un’iscrizione anagrafica duratura pur essendovi iscritti). Si consideri, inoltre, che non tutti i 54mila i cittadini stranieri sovra-coperti dell’edizione 2023 hanno un’età che rientra nei profili migratori noti: solo il 18,4% di essi ha 25-34 anni mentre il 36,5% appartiene alla classe 35-54 anni. Per il resto, si riscontra una quota del 31,3% di over 55enni e una del 13,9% di giovani fino a 24 anni di età. Tenuto conto di quanto sopra, cioè della chiara impossibilità di indicare con precisione il motivo della loro assenza sul territorio nazionale, tenendo altresì presente il profilo per età e, infine, il fatto che tali individui sono emersi come non residenti nell’arco di un triennio, una stima prudenziale della consistenza annuale delle mancate registrazioni anagrafiche per emigrazione all’estero può presentare un livello minimo di almeno 10-12 mila unità.</w:t>
      </w:r>
    </w:p>
  </w:endnote>
  <w:endnote w:id="2">
    <w:p w14:paraId="5227A6CC" w14:textId="3190682A" w:rsidR="00C23107" w:rsidRPr="000F2CE6" w:rsidRDefault="00C23107" w:rsidP="000F2CE6">
      <w:pPr>
        <w:pStyle w:val="Testonotadichiusura"/>
        <w:spacing w:after="120"/>
        <w:jc w:val="both"/>
        <w:rPr>
          <w:rFonts w:ascii="Arial" w:hAnsi="Arial" w:cs="Arial"/>
          <w:sz w:val="18"/>
        </w:rPr>
      </w:pPr>
      <w:r w:rsidRPr="000F2CE6">
        <w:rPr>
          <w:rStyle w:val="Rimandonotadichiusura"/>
          <w:rFonts w:ascii="Arial" w:hAnsi="Arial" w:cs="Arial"/>
          <w:sz w:val="18"/>
        </w:rPr>
        <w:endnoteRef/>
      </w:r>
      <w:r w:rsidRPr="000F2CE6">
        <w:rPr>
          <w:rFonts w:ascii="Arial" w:hAnsi="Arial" w:cs="Arial"/>
          <w:sz w:val="18"/>
        </w:rPr>
        <w:t xml:space="preserve"> La </w:t>
      </w:r>
      <w:r>
        <w:rPr>
          <w:rFonts w:ascii="Arial" w:hAnsi="Arial" w:cs="Arial"/>
          <w:sz w:val="18"/>
        </w:rPr>
        <w:t>L</w:t>
      </w:r>
      <w:r w:rsidRPr="000F2CE6">
        <w:rPr>
          <w:rFonts w:ascii="Arial" w:hAnsi="Arial" w:cs="Arial"/>
          <w:sz w:val="18"/>
        </w:rPr>
        <w:t xml:space="preserve">egge n.213 del 30 dicembre 2023 (Legge di Bilancio 2024) introduce una sanzione per i cittadini italiani residenti all'estero che non si iscrivono all'AIRE (Anagrafe </w:t>
      </w:r>
      <w:r w:rsidRPr="009D566A">
        <w:rPr>
          <w:rFonts w:ascii="Arial" w:hAnsi="Arial" w:cs="Arial"/>
          <w:sz w:val="18"/>
        </w:rPr>
        <w:t>italiani residenti all'estero</w:t>
      </w:r>
      <w:r w:rsidRPr="000F2CE6">
        <w:rPr>
          <w:rFonts w:ascii="Arial" w:hAnsi="Arial" w:cs="Arial"/>
          <w:sz w:val="18"/>
        </w:rPr>
        <w:t>).</w:t>
      </w:r>
      <w:r>
        <w:rPr>
          <w:rFonts w:ascii="Arial" w:hAnsi="Arial" w:cs="Arial"/>
          <w:sz w:val="18"/>
        </w:rPr>
        <w:t xml:space="preserve"> </w:t>
      </w:r>
      <w:r w:rsidRPr="000F2CE6">
        <w:rPr>
          <w:rFonts w:ascii="Arial" w:hAnsi="Arial" w:cs="Arial"/>
          <w:sz w:val="18"/>
        </w:rPr>
        <w:t xml:space="preserve">La sanzione è pecuniaria e può variare </w:t>
      </w:r>
      <w:r>
        <w:rPr>
          <w:rFonts w:ascii="Arial" w:hAnsi="Arial" w:cs="Arial"/>
          <w:sz w:val="18"/>
        </w:rPr>
        <w:br/>
      </w:r>
      <w:r w:rsidRPr="000F2CE6">
        <w:rPr>
          <w:rFonts w:ascii="Arial" w:hAnsi="Arial" w:cs="Arial"/>
          <w:sz w:val="18"/>
        </w:rPr>
        <w:t>da 200 a 1.000 euro per ogni anno di mancata iscrizione, fino a un massimo di 5 anni. </w:t>
      </w:r>
    </w:p>
  </w:endnote>
  <w:endnote w:id="3">
    <w:p w14:paraId="7666EC32" w14:textId="744D8486" w:rsidR="00C23107" w:rsidRPr="000F2CE6" w:rsidRDefault="00C23107" w:rsidP="000F2CE6">
      <w:pPr>
        <w:pStyle w:val="Testonotadichiusura"/>
        <w:spacing w:after="120"/>
        <w:jc w:val="both"/>
        <w:rPr>
          <w:rFonts w:ascii="Arial" w:hAnsi="Arial" w:cs="Arial"/>
          <w:sz w:val="18"/>
        </w:rPr>
      </w:pPr>
      <w:r w:rsidRPr="000F2CE6">
        <w:rPr>
          <w:rStyle w:val="Rimandonotadichiusura"/>
          <w:rFonts w:ascii="Arial" w:hAnsi="Arial" w:cs="Arial"/>
          <w:sz w:val="18"/>
        </w:rPr>
        <w:endnoteRef/>
      </w:r>
      <w:r w:rsidRPr="000F2CE6">
        <w:rPr>
          <w:rFonts w:ascii="Arial" w:hAnsi="Arial" w:cs="Arial"/>
          <w:sz w:val="18"/>
        </w:rPr>
        <w:t xml:space="preserve"> I titoli di studio dei cittadini stranieri sono validati dal 2019 al 2023, ultimo anno disponibile.</w:t>
      </w:r>
    </w:p>
  </w:endnote>
  <w:endnote w:id="4">
    <w:p w14:paraId="59DA650C" w14:textId="728535A4" w:rsidR="00C23107" w:rsidRPr="000F2CE6" w:rsidRDefault="00C23107" w:rsidP="000F2CE6">
      <w:pPr>
        <w:pStyle w:val="Testonotadichiusura"/>
        <w:spacing w:after="120"/>
        <w:jc w:val="both"/>
        <w:rPr>
          <w:rFonts w:ascii="Arial" w:hAnsi="Arial" w:cs="Arial"/>
          <w:sz w:val="18"/>
        </w:rPr>
      </w:pPr>
      <w:r w:rsidRPr="000F2CE6">
        <w:rPr>
          <w:rStyle w:val="Rimandonotadichiusura"/>
          <w:rFonts w:ascii="Arial" w:hAnsi="Arial" w:cs="Arial"/>
          <w:sz w:val="18"/>
        </w:rPr>
        <w:endnoteRef/>
      </w:r>
      <w:r w:rsidRPr="000F2CE6">
        <w:rPr>
          <w:rFonts w:ascii="Arial" w:hAnsi="Arial" w:cs="Arial"/>
          <w:sz w:val="18"/>
        </w:rPr>
        <w:t xml:space="preserve"> </w:t>
      </w:r>
      <w:bookmarkStart w:id="5" w:name="_Hlk198228138"/>
      <w:r w:rsidRPr="000F2CE6">
        <w:rPr>
          <w:rFonts w:ascii="Arial" w:hAnsi="Arial" w:cs="Arial"/>
          <w:sz w:val="18"/>
        </w:rPr>
        <w:t>A questo livello di analisi, il valore informativo risulta indipendente dalla tipologia di specializzazione terziaria, dal Paese in cui questa è stata acquisita (anche se diverso da quello di origine), dall’occupazione intrapresa una volta giunti in Italia e dalla coerenza tra tale occupazione e la formazione posseduta, che potrebbe portare a un sotto-inquadramento professionale. Le stesse considerazioni si applicano ai cittadini, italiani o stranieri, che emigrano all’estero. Questo perché le informazioni raccolte sui trasferimenti di residenza non includono dettagli né sulla specializzazione terziaria né sul tipo di occupazione svolta.</w:t>
      </w:r>
    </w:p>
    <w:bookmarkEnd w:id="5"/>
    <w:p w14:paraId="5A99C395" w14:textId="75B9DDB2" w:rsidR="00C23107" w:rsidRPr="000F2CE6" w:rsidRDefault="00C23107">
      <w:pPr>
        <w:pStyle w:val="Testonotadichiusura"/>
        <w:rPr>
          <w:rFonts w:ascii="Arial" w:hAnsi="Arial" w:cs="Arial"/>
          <w:sz w:val="18"/>
        </w:rPr>
      </w:pPr>
    </w:p>
    <w:p w14:paraId="767ADDBD" w14:textId="74DC53C1" w:rsidR="00C23107" w:rsidRPr="000F2CE6" w:rsidRDefault="00C23107">
      <w:pPr>
        <w:pStyle w:val="Testonotadichiusura"/>
        <w:rPr>
          <w:rFonts w:ascii="Arial" w:hAnsi="Arial" w:cs="Arial"/>
          <w:sz w:val="18"/>
        </w:rPr>
      </w:pPr>
    </w:p>
    <w:p w14:paraId="438612B7" w14:textId="48AE5F87" w:rsidR="00C23107" w:rsidRPr="000F2CE6" w:rsidRDefault="00C23107">
      <w:pPr>
        <w:pStyle w:val="Testonotadichiusura"/>
        <w:rPr>
          <w:rFonts w:ascii="Arial" w:hAnsi="Arial" w:cs="Arial"/>
          <w:sz w:val="18"/>
        </w:rPr>
      </w:pPr>
    </w:p>
    <w:p w14:paraId="649387C5" w14:textId="6CA941AC" w:rsidR="00C23107" w:rsidRPr="000F2CE6" w:rsidRDefault="00C23107">
      <w:pPr>
        <w:pStyle w:val="Testonotadichiusura"/>
        <w:rPr>
          <w:rFonts w:ascii="Arial" w:hAnsi="Arial" w:cs="Arial"/>
          <w:sz w:val="18"/>
        </w:rPr>
      </w:pPr>
    </w:p>
    <w:p w14:paraId="34494591" w14:textId="3731B1C4" w:rsidR="00C23107" w:rsidRDefault="00C23107">
      <w:pPr>
        <w:pStyle w:val="Testonotadichiusura"/>
      </w:pPr>
    </w:p>
    <w:p w14:paraId="4A9FF3E0" w14:textId="226EE67B" w:rsidR="00C23107" w:rsidRDefault="00C23107" w:rsidP="00CE0D8C">
      <w:pPr>
        <w:pStyle w:val="NormaleWeb"/>
        <w:spacing w:before="120" w:beforeAutospacing="0" w:after="120" w:afterAutospacing="0"/>
        <w:rPr>
          <w:rFonts w:ascii="Georgia" w:hAnsi="Georgia"/>
          <w:bCs/>
          <w:color w:val="1F497D" w:themeColor="text2"/>
          <w:sz w:val="36"/>
          <w:szCs w:val="36"/>
        </w:rPr>
      </w:pPr>
      <w:r w:rsidRPr="007B48C0">
        <w:rPr>
          <w:rFonts w:ascii="Georgia" w:hAnsi="Georgia"/>
          <w:bCs/>
          <w:color w:val="1F497D" w:themeColor="text2"/>
          <w:sz w:val="36"/>
          <w:szCs w:val="36"/>
        </w:rPr>
        <w:t>Per chiarimenti tecnici e metodologici</w:t>
      </w:r>
    </w:p>
    <w:p w14:paraId="138CBC13" w14:textId="77777777" w:rsidR="00C23107" w:rsidRPr="007B48C0" w:rsidRDefault="00C23107" w:rsidP="00CE0D8C">
      <w:pPr>
        <w:pStyle w:val="NormaleWeb"/>
        <w:spacing w:before="120" w:beforeAutospacing="0" w:after="120" w:afterAutospacing="0"/>
        <w:rPr>
          <w:rFonts w:ascii="Arial" w:hAnsi="Arial" w:cs="Arial"/>
          <w:color w:val="000000" w:themeColor="text1"/>
          <w:sz w:val="36"/>
          <w:szCs w:val="36"/>
        </w:rPr>
      </w:pPr>
    </w:p>
    <w:tbl>
      <w:tblPr>
        <w:tblStyle w:val="Grigliatabel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5654"/>
      </w:tblGrid>
      <w:tr w:rsidR="00C23107" w:rsidRPr="00482A0D" w14:paraId="25298516" w14:textId="77777777" w:rsidTr="000F2CE6">
        <w:tc>
          <w:tcPr>
            <w:tcW w:w="2298" w:type="dxa"/>
          </w:tcPr>
          <w:p w14:paraId="755BA88C" w14:textId="47EF4AB8" w:rsidR="00C23107" w:rsidRPr="00482A0D" w:rsidRDefault="00C23107" w:rsidP="00CE0D8C">
            <w:pPr>
              <w:pStyle w:val="NormaleWeb"/>
              <w:spacing w:before="0" w:beforeAutospacing="0" w:after="0" w:afterAutospacing="0"/>
              <w:rPr>
                <w:rFonts w:ascii="Arial" w:hAnsi="Arial" w:cs="Arial"/>
                <w:b/>
                <w:bCs/>
                <w:color w:val="1F497D"/>
                <w:sz w:val="20"/>
                <w:szCs w:val="22"/>
              </w:rPr>
            </w:pPr>
            <w:r w:rsidRPr="00482A0D">
              <w:rPr>
                <w:rFonts w:ascii="Arial" w:hAnsi="Arial" w:cs="Arial"/>
                <w:b/>
                <w:bCs/>
                <w:color w:val="1F497D"/>
                <w:sz w:val="20"/>
                <w:szCs w:val="22"/>
              </w:rPr>
              <w:t>Francesca Licari</w:t>
            </w:r>
          </w:p>
          <w:p w14:paraId="25F3B93D" w14:textId="4A1F1006" w:rsidR="00C23107" w:rsidRPr="00482A0D" w:rsidRDefault="00C23107" w:rsidP="00CE0D8C">
            <w:pPr>
              <w:pStyle w:val="NormaleWeb"/>
              <w:spacing w:before="0" w:beforeAutospacing="0" w:after="0" w:afterAutospacing="0"/>
              <w:rPr>
                <w:rFonts w:ascii="Arial" w:hAnsi="Arial" w:cs="Arial"/>
                <w:bCs/>
                <w:color w:val="1F497D"/>
                <w:sz w:val="20"/>
                <w:szCs w:val="22"/>
              </w:rPr>
            </w:pPr>
            <w:r w:rsidRPr="00482A0D">
              <w:rPr>
                <w:rFonts w:ascii="Arial" w:hAnsi="Arial" w:cs="Arial"/>
                <w:bCs/>
                <w:color w:val="1F497D"/>
                <w:sz w:val="20"/>
                <w:szCs w:val="22"/>
              </w:rPr>
              <w:t>06 4673 7340</w:t>
            </w:r>
          </w:p>
          <w:p w14:paraId="12162464" w14:textId="36FBAEE6" w:rsidR="00C23107" w:rsidRPr="00482A0D" w:rsidRDefault="00E2152C" w:rsidP="00CE0D8C">
            <w:pPr>
              <w:pStyle w:val="NormaleWeb"/>
              <w:spacing w:before="0" w:beforeAutospacing="0" w:after="0" w:afterAutospacing="0"/>
              <w:rPr>
                <w:rFonts w:ascii="Arial" w:hAnsi="Arial" w:cs="Arial"/>
                <w:bCs/>
                <w:color w:val="1F497D"/>
                <w:sz w:val="20"/>
                <w:szCs w:val="22"/>
              </w:rPr>
            </w:pPr>
            <w:hyperlink r:id="rId1" w:history="1">
              <w:r w:rsidR="00C23107" w:rsidRPr="00482A0D">
                <w:rPr>
                  <w:rStyle w:val="Collegamentoipertestuale"/>
                  <w:rFonts w:ascii="Arial" w:hAnsi="Arial" w:cs="Arial"/>
                  <w:bCs/>
                  <w:sz w:val="20"/>
                  <w:szCs w:val="22"/>
                </w:rPr>
                <w:t>licari@istat.it</w:t>
              </w:r>
            </w:hyperlink>
          </w:p>
          <w:p w14:paraId="767ED1E3" w14:textId="77777777" w:rsidR="00C23107" w:rsidRPr="00482A0D" w:rsidRDefault="00C23107" w:rsidP="00CE0D8C">
            <w:pPr>
              <w:pStyle w:val="NormaleWeb"/>
              <w:spacing w:before="0" w:beforeAutospacing="0" w:after="0" w:afterAutospacing="0"/>
              <w:rPr>
                <w:rFonts w:ascii="Arial" w:hAnsi="Arial" w:cs="Arial"/>
                <w:b/>
                <w:bCs/>
                <w:color w:val="1F497D"/>
                <w:sz w:val="20"/>
                <w:szCs w:val="22"/>
              </w:rPr>
            </w:pPr>
          </w:p>
        </w:tc>
        <w:tc>
          <w:tcPr>
            <w:tcW w:w="3043" w:type="dxa"/>
          </w:tcPr>
          <w:p w14:paraId="7A46EF31" w14:textId="3847E3E5" w:rsidR="00C23107" w:rsidRPr="00482A0D" w:rsidRDefault="00C23107" w:rsidP="00CE0D8C">
            <w:pPr>
              <w:pStyle w:val="NormaleWeb"/>
              <w:spacing w:before="0" w:beforeAutospacing="0" w:after="0" w:afterAutospacing="0"/>
              <w:rPr>
                <w:rFonts w:ascii="Arial" w:hAnsi="Arial" w:cs="Arial"/>
                <w:b/>
                <w:bCs/>
                <w:color w:val="1F497D"/>
                <w:sz w:val="20"/>
                <w:szCs w:val="22"/>
              </w:rPr>
            </w:pPr>
            <w:r w:rsidRPr="00482A0D">
              <w:rPr>
                <w:rFonts w:ascii="Arial" w:hAnsi="Arial" w:cs="Arial"/>
                <w:b/>
                <w:bCs/>
                <w:color w:val="1F497D"/>
                <w:sz w:val="20"/>
                <w:szCs w:val="22"/>
              </w:rPr>
              <w:t>Sara Miccoli</w:t>
            </w:r>
          </w:p>
          <w:p w14:paraId="267AA490" w14:textId="24B69DA8" w:rsidR="00C23107" w:rsidRPr="00482A0D" w:rsidRDefault="00C23107" w:rsidP="00CE0D8C">
            <w:pPr>
              <w:pStyle w:val="NormaleWeb"/>
              <w:spacing w:before="0" w:beforeAutospacing="0" w:after="0" w:afterAutospacing="0"/>
              <w:rPr>
                <w:rFonts w:ascii="Arial" w:hAnsi="Arial" w:cs="Arial"/>
                <w:bCs/>
                <w:color w:val="1F497D"/>
                <w:sz w:val="20"/>
                <w:szCs w:val="22"/>
              </w:rPr>
            </w:pPr>
            <w:r w:rsidRPr="00482A0D">
              <w:rPr>
                <w:rFonts w:ascii="Arial" w:hAnsi="Arial" w:cs="Arial"/>
                <w:bCs/>
                <w:color w:val="1F497D"/>
                <w:sz w:val="20"/>
                <w:szCs w:val="22"/>
              </w:rPr>
              <w:t>06 4673 7503</w:t>
            </w:r>
          </w:p>
          <w:p w14:paraId="4A07E8E7" w14:textId="1009E31D" w:rsidR="00C23107" w:rsidRPr="00482A0D" w:rsidRDefault="00C23107">
            <w:pPr>
              <w:pStyle w:val="NormaleWeb"/>
              <w:spacing w:before="0" w:beforeAutospacing="0" w:after="0" w:afterAutospacing="0"/>
              <w:rPr>
                <w:rFonts w:ascii="Arial" w:hAnsi="Arial" w:cs="Arial"/>
                <w:b/>
                <w:bCs/>
                <w:color w:val="1F497D"/>
                <w:sz w:val="20"/>
                <w:szCs w:val="22"/>
              </w:rPr>
            </w:pPr>
            <w:r w:rsidRPr="00482A0D">
              <w:rPr>
                <w:rStyle w:val="Collegamentoipertestuale"/>
                <w:rFonts w:ascii="Arial" w:hAnsi="Arial" w:cs="Arial"/>
                <w:sz w:val="20"/>
                <w:szCs w:val="20"/>
              </w:rPr>
              <w:t>sara.</w:t>
            </w:r>
            <w:hyperlink r:id="rId2" w:history="1">
              <w:r w:rsidRPr="00482A0D">
                <w:rPr>
                  <w:rStyle w:val="Collegamentoipertestuale"/>
                  <w:rFonts w:ascii="Arial" w:hAnsi="Arial" w:cs="Arial"/>
                  <w:sz w:val="20"/>
                  <w:szCs w:val="22"/>
                </w:rPr>
                <w:t>miccoli@istat.it</w:t>
              </w:r>
            </w:hyperlink>
            <w:r>
              <w:rPr>
                <w:rFonts w:ascii="Arial" w:hAnsi="Arial" w:cs="Arial"/>
                <w:sz w:val="20"/>
                <w:szCs w:val="22"/>
              </w:rPr>
              <w:t xml:space="preserve"> </w:t>
            </w:r>
          </w:p>
        </w:tc>
      </w:tr>
    </w:tbl>
    <w:p w14:paraId="087D829A" w14:textId="77777777" w:rsidR="00C23107" w:rsidRDefault="00C23107">
      <w:pPr>
        <w:pStyle w:val="Testonotadichiusur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0352" w14:textId="14B861FE" w:rsidR="00C23107" w:rsidRDefault="00C2310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2E466184" w14:textId="77777777" w:rsidR="00C23107" w:rsidRDefault="00C2310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084842"/>
      <w:docPartObj>
        <w:docPartGallery w:val="Page Numbers (Bottom of Page)"/>
        <w:docPartUnique/>
      </w:docPartObj>
    </w:sdtPr>
    <w:sdtEndPr/>
    <w:sdtContent>
      <w:p w14:paraId="7826DF47" w14:textId="49DEB064" w:rsidR="00C23107" w:rsidRDefault="00C23107">
        <w:pPr>
          <w:pStyle w:val="Pidipagina"/>
        </w:pPr>
        <w:r>
          <w:fldChar w:fldCharType="begin"/>
        </w:r>
        <w:r>
          <w:instrText>PAGE   \* MERGEFORMAT</w:instrText>
        </w:r>
        <w:r>
          <w:fldChar w:fldCharType="separate"/>
        </w:r>
        <w:r>
          <w:rPr>
            <w:noProof/>
          </w:rPr>
          <w:t>2</w:t>
        </w:r>
        <w:r>
          <w:fldChar w:fldCharType="end"/>
        </w:r>
      </w:p>
    </w:sdtContent>
  </w:sdt>
  <w:p w14:paraId="065095C4" w14:textId="77777777" w:rsidR="00C23107" w:rsidRDefault="00C23107"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80F38" w14:textId="31A1EF62" w:rsidR="00C23107" w:rsidRPr="00C469C4" w:rsidRDefault="00C23107" w:rsidP="00C469C4">
    <w:pPr>
      <w:pStyle w:val="Pidipagina"/>
      <w:ind w:left="-851"/>
      <w:rPr>
        <w:sz w:val="18"/>
      </w:rPr>
    </w:pPr>
    <w:r>
      <w:rPr>
        <w:noProof/>
        <w:sz w:val="18"/>
      </w:rPr>
      <mc:AlternateContent>
        <mc:Choice Requires="wps">
          <w:drawing>
            <wp:anchor distT="0" distB="0" distL="114300" distR="114300" simplePos="0" relativeHeight="251694592" behindDoc="0" locked="0" layoutInCell="1" allowOverlap="1" wp14:anchorId="2C69618A" wp14:editId="7BC09104">
              <wp:simplePos x="0" y="0"/>
              <wp:positionH relativeFrom="column">
                <wp:posOffset>-26035</wp:posOffset>
              </wp:positionH>
              <wp:positionV relativeFrom="paragraph">
                <wp:posOffset>607695</wp:posOffset>
              </wp:positionV>
              <wp:extent cx="3648883" cy="762000"/>
              <wp:effectExtent l="0" t="0" r="8890" b="0"/>
              <wp:wrapNone/>
              <wp:docPr id="24" name="Casella di testo 24"/>
              <wp:cNvGraphicFramePr/>
              <a:graphic xmlns:a="http://schemas.openxmlformats.org/drawingml/2006/main">
                <a:graphicData uri="http://schemas.microsoft.com/office/word/2010/wordprocessingShape">
                  <wps:wsp>
                    <wps:cNvSpPr txBox="1"/>
                    <wps:spPr>
                      <a:xfrm>
                        <a:off x="0" y="0"/>
                        <a:ext cx="3648883"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23107" w:rsidRPr="000E0402" w14:paraId="0A01F98F" w14:textId="77777777" w:rsidTr="00D62549">
                            <w:trPr>
                              <w:trHeight w:val="1195"/>
                            </w:trPr>
                            <w:tc>
                              <w:tcPr>
                                <w:tcW w:w="3544" w:type="dxa"/>
                              </w:tcPr>
                              <w:p w14:paraId="1ADBED90" w14:textId="77777777" w:rsidR="00C23107" w:rsidRPr="004649F8" w:rsidRDefault="00C23107" w:rsidP="00D62549">
                                <w:pPr>
                                  <w:rPr>
                                    <w:rFonts w:ascii="Arial Narrow" w:hAnsi="Arial Narrow"/>
                                    <w:b/>
                                    <w:bCs/>
                                    <w:color w:val="1F497D"/>
                                  </w:rPr>
                                </w:pPr>
                                <w:r w:rsidRPr="004649F8">
                                  <w:rPr>
                                    <w:rFonts w:ascii="Arial Narrow" w:hAnsi="Arial Narrow"/>
                                    <w:b/>
                                    <w:bCs/>
                                    <w:color w:val="1F497D"/>
                                  </w:rPr>
                                  <w:t>UFFICIO STAMPA</w:t>
                                </w:r>
                              </w:p>
                              <w:p w14:paraId="02355FE5" w14:textId="77777777" w:rsidR="00C23107" w:rsidRPr="004649F8" w:rsidRDefault="00C23107" w:rsidP="00D62549">
                                <w:pPr>
                                  <w:rPr>
                                    <w:rFonts w:ascii="Arial Narrow" w:hAnsi="Arial Narrow"/>
                                    <w:color w:val="1F497D"/>
                                  </w:rPr>
                                </w:pPr>
                                <w:r w:rsidRPr="004649F8">
                                  <w:rPr>
                                    <w:rFonts w:ascii="Arial Narrow" w:hAnsi="Arial Narrow"/>
                                    <w:color w:val="1F497D"/>
                                  </w:rPr>
                                  <w:t>tel. +39 06 4673.2243/44</w:t>
                                </w:r>
                              </w:p>
                              <w:p w14:paraId="54AC789B" w14:textId="77777777" w:rsidR="00C23107" w:rsidRPr="004649F8" w:rsidRDefault="00E2152C" w:rsidP="00D62549">
                                <w:pPr>
                                  <w:rPr>
                                    <w:rFonts w:ascii="Arial Narrow" w:hAnsi="Arial Narrow"/>
                                    <w:color w:val="1F497D"/>
                                  </w:rPr>
                                </w:pPr>
                                <w:hyperlink r:id="rId1" w:history="1">
                                  <w:r w:rsidR="00C23107" w:rsidRPr="002E68C4">
                                    <w:rPr>
                                      <w:rStyle w:val="Collegamentoipertestuale"/>
                                      <w:rFonts w:ascii="Arial Narrow" w:hAnsi="Arial Narrow"/>
                                      <w:color w:val="023859"/>
                                    </w:rPr>
                                    <w:t>ufficiostampa@istat.it</w:t>
                                  </w:r>
                                </w:hyperlink>
                              </w:p>
                            </w:tc>
                            <w:tc>
                              <w:tcPr>
                                <w:tcW w:w="2126" w:type="dxa"/>
                              </w:tcPr>
                              <w:p w14:paraId="779BB6C9" w14:textId="07841A98" w:rsidR="00C23107" w:rsidRPr="002E68C4" w:rsidRDefault="00C23107" w:rsidP="00D62549">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hyperlink r:id="rId2" w:history="1">
                                  <w:r w:rsidRPr="002E68C4">
                                    <w:rPr>
                                      <w:rStyle w:val="Collegamentoipertestuale"/>
                                      <w:rFonts w:ascii="Arial Narrow" w:hAnsi="Arial Narrow"/>
                                      <w:color w:val="023859"/>
                                      <w:lang w:val="en-US"/>
                                    </w:rPr>
                                    <w:t>contact.istat.it</w:t>
                                  </w:r>
                                </w:hyperlink>
                              </w:p>
                              <w:p w14:paraId="2BC0441E" w14:textId="77777777" w:rsidR="00C23107" w:rsidRPr="002E68C4" w:rsidRDefault="00C23107" w:rsidP="00D62549">
                                <w:pPr>
                                  <w:rPr>
                                    <w:rFonts w:ascii="Arial Narrow" w:hAnsi="Arial Narrow"/>
                                    <w:color w:val="1F497D"/>
                                    <w:lang w:val="en-US"/>
                                  </w:rPr>
                                </w:pPr>
                              </w:p>
                            </w:tc>
                          </w:tr>
                        </w:tbl>
                        <w:p w14:paraId="08CFA171" w14:textId="77777777" w:rsidR="00C23107" w:rsidRPr="004649F8" w:rsidRDefault="00C23107" w:rsidP="009B67E8">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9618A" id="_x0000_t202" coordsize="21600,21600" o:spt="202" path="m,l,21600r21600,l21600,xe">
              <v:stroke joinstyle="miter"/>
              <v:path gradientshapeok="t" o:connecttype="rect"/>
            </v:shapetype>
            <v:shape id="Casella di testo 24" o:spid="_x0000_s1031" type="#_x0000_t202" style="position:absolute;left:0;text-align:left;margin-left:-2.05pt;margin-top:47.85pt;width:287.3pt;height:6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C23107" w:rsidRPr="000E0402" w14:paraId="0A01F98F" w14:textId="77777777" w:rsidTr="00D62549">
                      <w:trPr>
                        <w:trHeight w:val="1195"/>
                      </w:trPr>
                      <w:tc>
                        <w:tcPr>
                          <w:tcW w:w="3544" w:type="dxa"/>
                        </w:tcPr>
                        <w:p w14:paraId="1ADBED90" w14:textId="77777777" w:rsidR="00C23107" w:rsidRPr="004649F8" w:rsidRDefault="00C23107" w:rsidP="00D62549">
                          <w:pPr>
                            <w:rPr>
                              <w:rFonts w:ascii="Arial Narrow" w:hAnsi="Arial Narrow"/>
                              <w:b/>
                              <w:bCs/>
                              <w:color w:val="1F497D"/>
                            </w:rPr>
                          </w:pPr>
                          <w:r w:rsidRPr="004649F8">
                            <w:rPr>
                              <w:rFonts w:ascii="Arial Narrow" w:hAnsi="Arial Narrow"/>
                              <w:b/>
                              <w:bCs/>
                              <w:color w:val="1F497D"/>
                            </w:rPr>
                            <w:t>UFFICIO STAMPA</w:t>
                          </w:r>
                        </w:p>
                        <w:p w14:paraId="02355FE5" w14:textId="77777777" w:rsidR="00C23107" w:rsidRPr="004649F8" w:rsidRDefault="00C23107" w:rsidP="00D62549">
                          <w:pPr>
                            <w:rPr>
                              <w:rFonts w:ascii="Arial Narrow" w:hAnsi="Arial Narrow"/>
                              <w:color w:val="1F497D"/>
                            </w:rPr>
                          </w:pPr>
                          <w:r w:rsidRPr="004649F8">
                            <w:rPr>
                              <w:rFonts w:ascii="Arial Narrow" w:hAnsi="Arial Narrow"/>
                              <w:color w:val="1F497D"/>
                            </w:rPr>
                            <w:t>tel. +39 06 4673.2243/44</w:t>
                          </w:r>
                        </w:p>
                        <w:p w14:paraId="54AC789B" w14:textId="77777777" w:rsidR="00C23107" w:rsidRPr="004649F8" w:rsidRDefault="00E2152C" w:rsidP="00D62549">
                          <w:pPr>
                            <w:rPr>
                              <w:rFonts w:ascii="Arial Narrow" w:hAnsi="Arial Narrow"/>
                              <w:color w:val="1F497D"/>
                            </w:rPr>
                          </w:pPr>
                          <w:hyperlink r:id="rId3" w:history="1">
                            <w:r w:rsidR="00C23107" w:rsidRPr="002E68C4">
                              <w:rPr>
                                <w:rStyle w:val="Collegamentoipertestuale"/>
                                <w:rFonts w:ascii="Arial Narrow" w:hAnsi="Arial Narrow"/>
                                <w:color w:val="023859"/>
                              </w:rPr>
                              <w:t>ufficiostampa@istat.it</w:t>
                            </w:r>
                          </w:hyperlink>
                        </w:p>
                      </w:tc>
                      <w:tc>
                        <w:tcPr>
                          <w:tcW w:w="2126" w:type="dxa"/>
                        </w:tcPr>
                        <w:p w14:paraId="779BB6C9" w14:textId="07841A98" w:rsidR="00C23107" w:rsidRPr="002E68C4" w:rsidRDefault="00C23107" w:rsidP="00D62549">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hyperlink r:id="rId4" w:history="1">
                            <w:r w:rsidRPr="002E68C4">
                              <w:rPr>
                                <w:rStyle w:val="Collegamentoipertestuale"/>
                                <w:rFonts w:ascii="Arial Narrow" w:hAnsi="Arial Narrow"/>
                                <w:color w:val="023859"/>
                                <w:lang w:val="en-US"/>
                              </w:rPr>
                              <w:t>contact.istat.it</w:t>
                            </w:r>
                          </w:hyperlink>
                        </w:p>
                        <w:p w14:paraId="2BC0441E" w14:textId="77777777" w:rsidR="00C23107" w:rsidRPr="002E68C4" w:rsidRDefault="00C23107" w:rsidP="00D62549">
                          <w:pPr>
                            <w:rPr>
                              <w:rFonts w:ascii="Arial Narrow" w:hAnsi="Arial Narrow"/>
                              <w:color w:val="1F497D"/>
                              <w:lang w:val="en-US"/>
                            </w:rPr>
                          </w:pPr>
                        </w:p>
                      </w:tc>
                    </w:tr>
                  </w:tbl>
                  <w:p w14:paraId="08CFA171" w14:textId="77777777" w:rsidR="00C23107" w:rsidRPr="004649F8" w:rsidRDefault="00C23107" w:rsidP="009B67E8">
                    <w:pPr>
                      <w:rPr>
                        <w:rFonts w:ascii="Arial Narrow" w:hAnsi="Arial Narrow"/>
                        <w:color w:val="1F497D"/>
                        <w:lang w:val="en-US"/>
                      </w:rPr>
                    </w:pPr>
                  </w:p>
                </w:txbxContent>
              </v:textbox>
            </v:shape>
          </w:pict>
        </mc:Fallback>
      </mc:AlternateContent>
    </w:r>
    <w:r>
      <w:rPr>
        <w:noProof/>
        <w:sz w:val="18"/>
      </w:rPr>
      <w:drawing>
        <wp:inline distT="0" distB="0" distL="0" distR="0" wp14:anchorId="096B9CFA" wp14:editId="2FD0FEAA">
          <wp:extent cx="7542000" cy="1641600"/>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42000" cy="164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ghlight w:val="lightGray"/>
      </w:rPr>
      <w:id w:val="414526833"/>
      <w:docPartObj>
        <w:docPartGallery w:val="Page Numbers (Bottom of Page)"/>
        <w:docPartUnique/>
      </w:docPartObj>
    </w:sdtPr>
    <w:sdtEndPr/>
    <w:sdtContent>
      <w:p w14:paraId="4DD50D71" w14:textId="77777777" w:rsidR="00C23107" w:rsidRDefault="00C23107">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85376" behindDoc="0" locked="0" layoutInCell="1" allowOverlap="1" wp14:anchorId="13986644" wp14:editId="5897ECC8">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9424D6" id="Connettore 1 12"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fQ1Zyu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63872" behindDoc="0" locked="0" layoutInCell="1" allowOverlap="1" wp14:anchorId="5763A9B1" wp14:editId="2571E0DD">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C5F6643" id="Connettore 1 28"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KW1Dln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9776" behindDoc="0" locked="0" layoutInCell="1" allowOverlap="1" wp14:anchorId="1CCC57E7" wp14:editId="6654F5AF">
              <wp:simplePos x="0" y="0"/>
              <wp:positionH relativeFrom="column">
                <wp:posOffset>-545465</wp:posOffset>
              </wp:positionH>
              <wp:positionV relativeFrom="paragraph">
                <wp:posOffset>-3345505</wp:posOffset>
              </wp:positionV>
              <wp:extent cx="466725" cy="483235"/>
              <wp:effectExtent l="0" t="0" r="9525" b="0"/>
              <wp:wrapNone/>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2049451195"/>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3632" behindDoc="0" locked="0" layoutInCell="0" allowOverlap="1" wp14:anchorId="64622053" wp14:editId="237F039E">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2CC9EC76" w14:textId="6A2205CE" w:rsidR="00C23107" w:rsidRPr="001B745D" w:rsidRDefault="00C23107"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2152C">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4622053" id="Rettangolo 4" o:spid="_x0000_s1032" style="position:absolute;margin-left:14.1pt;margin-top:768.35pt;width:31.4pt;height:25.9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qRgrAuoBAACtAwAADgAAAAAAAAAAAAAAAAAuAgAAZHJzL2Uyb0Rv&#10;Yy54bWxQSwECLQAUAAYACAAAACEAJDbeXuEAAAALAQAADwAAAAAAAAAAAAAAAABEBAAAZHJzL2Rv&#10;d25yZXYueG1sUEsFBgAAAAAEAAQA8wAAAFIFAAAAAA==&#10;" o:allowincell="f" filled="f" stroked="f">
                      <v:textbox>
                        <w:txbxContent>
                          <w:p w14:paraId="2CC9EC76" w14:textId="6A2205CE" w:rsidR="00C23107" w:rsidRPr="001B745D" w:rsidRDefault="00C23107"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2152C">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4656" behindDoc="0" locked="0" layoutInCell="1" allowOverlap="1" wp14:anchorId="5ABA9AB7" wp14:editId="43CE41E9">
                  <wp:simplePos x="0" y="0"/>
                  <wp:positionH relativeFrom="column">
                    <wp:posOffset>5678170</wp:posOffset>
                  </wp:positionH>
                  <wp:positionV relativeFrom="paragraph">
                    <wp:posOffset>-263525</wp:posOffset>
                  </wp:positionV>
                  <wp:extent cx="1256030" cy="788035"/>
                  <wp:effectExtent l="0" t="0" r="127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43392" behindDoc="0" locked="0" layoutInCell="1" allowOverlap="1" wp14:anchorId="5AC362E8" wp14:editId="14B64144">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8B4E97A" id="Rettangolo 10" o:spid="_x0000_s1026" style="position:absolute;margin-left:-48.85pt;margin-top:-242.85pt;width:594.75pt;height:27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" fillcolor="#d8d8d8 [2732]" stroked="f" strokeweight="2pt">
                      <v:path arrowok="t"/>
                    </v:rect>
                  </w:pict>
                </mc:Fallback>
              </mc:AlternateContent>
            </w:r>
          </w:sdtContent>
        </w:sdt>
      </w:p>
    </w:sdtContent>
  </w:sdt>
  <w:p w14:paraId="017194C7" w14:textId="77777777" w:rsidR="00C23107" w:rsidRDefault="00C23107"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ghlight w:val="lightGray"/>
      </w:rPr>
      <w:id w:val="-143971102"/>
      <w:docPartObj>
        <w:docPartGallery w:val="Page Numbers (Bottom of Page)"/>
        <w:docPartUnique/>
      </w:docPartObj>
    </w:sdtPr>
    <w:sdtEndPr/>
    <w:sdtContent>
      <w:p w14:paraId="581045C1" w14:textId="77777777" w:rsidR="00C23107" w:rsidRDefault="00C23107">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9712" behindDoc="0" locked="0" layoutInCell="1" allowOverlap="1" wp14:anchorId="07503C31" wp14:editId="2C21CC57">
                  <wp:simplePos x="0" y="0"/>
                  <wp:positionH relativeFrom="column">
                    <wp:posOffset>-10160</wp:posOffset>
                  </wp:positionH>
                  <wp:positionV relativeFrom="paragraph">
                    <wp:posOffset>-2532381</wp:posOffset>
                  </wp:positionV>
                  <wp:extent cx="6299835" cy="0"/>
                  <wp:effectExtent l="0" t="0" r="24765" b="19050"/>
                  <wp:wrapNone/>
                  <wp:docPr id="6"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199C928" id="Connettore 1 12" o:spid="_x0000_s1026" style="position:absolute;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8688" behindDoc="0" locked="0" layoutInCell="1" allowOverlap="1" wp14:anchorId="27A8E359" wp14:editId="15269A96">
                  <wp:simplePos x="0" y="0"/>
                  <wp:positionH relativeFrom="column">
                    <wp:posOffset>-10160</wp:posOffset>
                  </wp:positionH>
                  <wp:positionV relativeFrom="paragraph">
                    <wp:posOffset>-127636</wp:posOffset>
                  </wp:positionV>
                  <wp:extent cx="6299835" cy="0"/>
                  <wp:effectExtent l="0" t="0" r="24765" b="19050"/>
                  <wp:wrapNone/>
                  <wp:docPr id="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18773F3" id="Connettore 1 28" o:spid="_x0000_s1026" style="position:absolute;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BPkotrjAQAAJA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595291522"/>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97664" behindDoc="0" locked="0" layoutInCell="0" allowOverlap="1" wp14:anchorId="05052A63" wp14:editId="3237CCCA">
                      <wp:simplePos x="0" y="0"/>
                      <wp:positionH relativeFrom="rightMargin">
                        <wp:posOffset>179070</wp:posOffset>
                      </wp:positionH>
                      <wp:positionV relativeFrom="margin">
                        <wp:posOffset>9758045</wp:posOffset>
                      </wp:positionV>
                      <wp:extent cx="398780" cy="329565"/>
                      <wp:effectExtent l="0" t="0" r="0" b="0"/>
                      <wp:wrapNone/>
                      <wp:docPr id="1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1B4C456E" w14:textId="3E0D9E1D" w:rsidR="00C23107" w:rsidRPr="001B745D" w:rsidRDefault="00C23107"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2152C">
                                    <w:rPr>
                                      <w:rFonts w:ascii="Arial" w:hAnsi="Arial" w:cs="Arial"/>
                                      <w:b/>
                                      <w:noProof/>
                                      <w:color w:val="244061" w:themeColor="accent1" w:themeShade="80"/>
                                      <w:sz w:val="20"/>
                                      <w:szCs w:val="20"/>
                                    </w:rPr>
                                    <w:t>13</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5052A63" id="_x0000_s1033" style="position:absolute;margin-left:14.1pt;margin-top:768.35pt;width:31.4pt;height:25.95pt;z-index:251697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SKw1aeoBAACtAwAADgAAAAAAAAAAAAAAAAAuAgAAZHJzL2Uyb0Rv&#10;Yy54bWxQSwECLQAUAAYACAAAACEAJDbeXuEAAAALAQAADwAAAAAAAAAAAAAAAABEBAAAZHJzL2Rv&#10;d25yZXYueG1sUEsFBgAAAAAEAAQA8wAAAFIFAAAAAA==&#10;" o:allowincell="f" filled="f" stroked="f">
                      <v:textbox>
                        <w:txbxContent>
                          <w:p w14:paraId="1B4C456E" w14:textId="3E0D9E1D" w:rsidR="00C23107" w:rsidRPr="001B745D" w:rsidRDefault="00C23107"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2152C">
                              <w:rPr>
                                <w:rFonts w:ascii="Arial" w:hAnsi="Arial" w:cs="Arial"/>
                                <w:b/>
                                <w:noProof/>
                                <w:color w:val="244061" w:themeColor="accent1" w:themeShade="80"/>
                                <w:sz w:val="20"/>
                                <w:szCs w:val="20"/>
                              </w:rPr>
                              <w:t>13</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96640" behindDoc="0" locked="0" layoutInCell="1" allowOverlap="1" wp14:anchorId="21B83D66" wp14:editId="341827A1">
                  <wp:simplePos x="0" y="0"/>
                  <wp:positionH relativeFrom="column">
                    <wp:posOffset>5678170</wp:posOffset>
                  </wp:positionH>
                  <wp:positionV relativeFrom="paragraph">
                    <wp:posOffset>-263525</wp:posOffset>
                  </wp:positionV>
                  <wp:extent cx="1256030" cy="788035"/>
                  <wp:effectExtent l="0" t="0" r="127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0350F12E" w14:textId="77777777" w:rsidR="00C23107" w:rsidRDefault="00C23107" w:rsidP="00842757">
    <w:pPr>
      <w:pStyle w:val="Pidipagina"/>
      <w:tabs>
        <w:tab w:val="clear" w:pos="4819"/>
        <w:tab w:val="clear" w:pos="9638"/>
        <w:tab w:val="left" w:pos="77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EF330" w14:textId="77777777" w:rsidR="00713F70" w:rsidRDefault="00713F70">
      <w:r>
        <w:separator/>
      </w:r>
    </w:p>
  </w:footnote>
  <w:footnote w:type="continuationSeparator" w:id="0">
    <w:p w14:paraId="06768D7F" w14:textId="77777777" w:rsidR="00713F70" w:rsidRDefault="00713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AB1B" w14:textId="77777777" w:rsidR="00C23107" w:rsidRDefault="00C23107"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5C87ADDD" wp14:editId="5C25CFED">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419E8D9D" w14:textId="77777777" w:rsidR="00C23107" w:rsidRPr="00A804E3" w:rsidRDefault="00C23107" w:rsidP="00DF2FE2">
                          <w:pPr>
                            <w:autoSpaceDE w:val="0"/>
                            <w:autoSpaceDN w:val="0"/>
                            <w:adjustRightInd w:val="0"/>
                            <w:jc w:val="center"/>
                            <w:rPr>
                              <w:rFonts w:ascii="Arial Narrow" w:hAnsi="Arial Narrow" w:cs="Arial"/>
                              <w:b/>
                              <w:bCs/>
                              <w:color w:val="FFFFFF" w:themeColor="background1"/>
                              <w:sz w:val="8"/>
                              <w:szCs w:val="26"/>
                            </w:rPr>
                          </w:pPr>
                        </w:p>
                        <w:p w14:paraId="7AAB9560" w14:textId="2DD4D9E0" w:rsidR="00C23107" w:rsidRPr="00690C34" w:rsidRDefault="00706534"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20</w:t>
                          </w:r>
                          <w:r w:rsidR="00885FB0">
                            <w:rPr>
                              <w:rFonts w:ascii="Arial Narrow" w:hAnsi="Arial Narrow" w:cs="Arial"/>
                              <w:b/>
                              <w:bCs/>
                              <w:color w:val="FFFFFF" w:themeColor="background1"/>
                              <w:sz w:val="26"/>
                              <w:szCs w:val="26"/>
                            </w:rPr>
                            <w:t xml:space="preserve"> </w:t>
                          </w:r>
                          <w:r w:rsidR="00C23107">
                            <w:rPr>
                              <w:rFonts w:ascii="Arial Narrow" w:hAnsi="Arial Narrow" w:cs="Arial"/>
                              <w:b/>
                              <w:bCs/>
                              <w:color w:val="FFFFFF" w:themeColor="background1"/>
                              <w:sz w:val="26"/>
                              <w:szCs w:val="26"/>
                            </w:rPr>
                            <w:t>GIUGNO</w:t>
                          </w:r>
                          <w:r w:rsidR="00C23107" w:rsidRPr="00886799">
                            <w:rPr>
                              <w:rFonts w:ascii="Arial Narrow" w:hAnsi="Arial Narrow" w:cs="Arial"/>
                              <w:b/>
                              <w:bCs/>
                              <w:color w:val="FFFFFF" w:themeColor="background1"/>
                              <w:sz w:val="26"/>
                              <w:szCs w:val="26"/>
                            </w:rPr>
                            <w:t xml:space="preserve"> </w:t>
                          </w:r>
                          <w:r w:rsidR="00C23107" w:rsidRPr="00123E17">
                            <w:rPr>
                              <w:rFonts w:ascii="Arial Narrow" w:hAnsi="Arial Narrow" w:cs="Arial"/>
                              <w:b/>
                              <w:bCs/>
                              <w:color w:val="FFFFFF" w:themeColor="background1"/>
                              <w:sz w:val="26"/>
                              <w:szCs w:val="26"/>
                            </w:rPr>
                            <w:t>20</w:t>
                          </w:r>
                          <w:r w:rsidR="00C23107">
                            <w:rPr>
                              <w:rFonts w:ascii="Arial Narrow" w:hAnsi="Arial Narrow" w:cs="Arial"/>
                              <w:b/>
                              <w:bCs/>
                              <w:color w:val="FFFFFF" w:themeColor="background1"/>
                              <w:sz w:val="26"/>
                              <w:szCs w:val="26"/>
                            </w:rPr>
                            <w:t>25</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7ADDD" id="_x0000_t202" coordsize="21600,21600" o:spt="202" path="m,l,21600r21600,l21600,xe">
              <v:stroke joinstyle="miter"/>
              <v:path gradientshapeok="t" o:connecttype="rect"/>
            </v:shapetype>
            <v:shape id="Text Box 2" o:spid="_x0000_s1030"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BgP9fIFAgAA7wMAAA4AAAAA&#10;AAAAAAAAAAAALgIAAGRycy9lMm9Eb2MueG1sUEsBAi0AFAAGAAgAAAAhAC71lRncAAAACAEAAA8A&#10;AAAAAAAAAAAAAAAAXwQAAGRycy9kb3ducmV2LnhtbFBLBQYAAAAABAAEAPMAAABoBQAAAAA=&#10;" fillcolor="#1f497d [3215]" stroked="f">
              <v:textbox inset="1.5mm,,1.5mm">
                <w:txbxContent>
                  <w:p w14:paraId="419E8D9D" w14:textId="77777777" w:rsidR="00C23107" w:rsidRPr="00A804E3" w:rsidRDefault="00C23107" w:rsidP="00DF2FE2">
                    <w:pPr>
                      <w:autoSpaceDE w:val="0"/>
                      <w:autoSpaceDN w:val="0"/>
                      <w:adjustRightInd w:val="0"/>
                      <w:jc w:val="center"/>
                      <w:rPr>
                        <w:rFonts w:ascii="Arial Narrow" w:hAnsi="Arial Narrow" w:cs="Arial"/>
                        <w:b/>
                        <w:bCs/>
                        <w:color w:val="FFFFFF" w:themeColor="background1"/>
                        <w:sz w:val="8"/>
                        <w:szCs w:val="26"/>
                      </w:rPr>
                    </w:pPr>
                  </w:p>
                  <w:p w14:paraId="7AAB9560" w14:textId="2DD4D9E0" w:rsidR="00C23107" w:rsidRPr="00690C34" w:rsidRDefault="00706534"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20</w:t>
                    </w:r>
                    <w:r w:rsidR="00885FB0">
                      <w:rPr>
                        <w:rFonts w:ascii="Arial Narrow" w:hAnsi="Arial Narrow" w:cs="Arial"/>
                        <w:b/>
                        <w:bCs/>
                        <w:color w:val="FFFFFF" w:themeColor="background1"/>
                        <w:sz w:val="26"/>
                        <w:szCs w:val="26"/>
                      </w:rPr>
                      <w:t xml:space="preserve"> </w:t>
                    </w:r>
                    <w:r w:rsidR="00C23107">
                      <w:rPr>
                        <w:rFonts w:ascii="Arial Narrow" w:hAnsi="Arial Narrow" w:cs="Arial"/>
                        <w:b/>
                        <w:bCs/>
                        <w:color w:val="FFFFFF" w:themeColor="background1"/>
                        <w:sz w:val="26"/>
                        <w:szCs w:val="26"/>
                      </w:rPr>
                      <w:t>GIUGNO</w:t>
                    </w:r>
                    <w:r w:rsidR="00C23107" w:rsidRPr="00886799">
                      <w:rPr>
                        <w:rFonts w:ascii="Arial Narrow" w:hAnsi="Arial Narrow" w:cs="Arial"/>
                        <w:b/>
                        <w:bCs/>
                        <w:color w:val="FFFFFF" w:themeColor="background1"/>
                        <w:sz w:val="26"/>
                        <w:szCs w:val="26"/>
                      </w:rPr>
                      <w:t xml:space="preserve"> </w:t>
                    </w:r>
                    <w:r w:rsidR="00C23107" w:rsidRPr="00123E17">
                      <w:rPr>
                        <w:rFonts w:ascii="Arial Narrow" w:hAnsi="Arial Narrow" w:cs="Arial"/>
                        <w:b/>
                        <w:bCs/>
                        <w:color w:val="FFFFFF" w:themeColor="background1"/>
                        <w:sz w:val="26"/>
                        <w:szCs w:val="26"/>
                      </w:rPr>
                      <w:t>20</w:t>
                    </w:r>
                    <w:r w:rsidR="00C23107">
                      <w:rPr>
                        <w:rFonts w:ascii="Arial Narrow" w:hAnsi="Arial Narrow" w:cs="Arial"/>
                        <w:b/>
                        <w:bCs/>
                        <w:color w:val="FFFFFF" w:themeColor="background1"/>
                        <w:sz w:val="26"/>
                        <w:szCs w:val="26"/>
                      </w:rPr>
                      <w:t>25</w:t>
                    </w:r>
                  </w:p>
                </w:txbxContent>
              </v:textbox>
            </v:shape>
          </w:pict>
        </mc:Fallback>
      </mc:AlternateContent>
    </w:r>
    <w:r>
      <w:rPr>
        <w:noProof/>
      </w:rPr>
      <w:drawing>
        <wp:inline distT="0" distB="0" distL="0" distR="0" wp14:anchorId="31A68C5E" wp14:editId="5D63C0BF">
          <wp:extent cx="7560000" cy="164520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C23107" w:rsidRPr="00DD6CCE" w14:paraId="4AEB2A4B" w14:textId="77777777" w:rsidTr="00C312B1">
      <w:trPr>
        <w:trHeight w:hRule="exact" w:val="567"/>
      </w:trPr>
      <w:tc>
        <w:tcPr>
          <w:tcW w:w="9323" w:type="dxa"/>
          <w:shd w:val="clear" w:color="auto" w:fill="1F497D" w:themeFill="text2"/>
          <w:vAlign w:val="center"/>
        </w:tcPr>
        <w:p w14:paraId="7B9F2687" w14:textId="3AD14B18" w:rsidR="00C23107" w:rsidRPr="005D6783" w:rsidRDefault="00C23107" w:rsidP="00C312B1">
          <w:pPr>
            <w:pStyle w:val="Intestazione"/>
            <w:spacing w:before="120"/>
            <w:ind w:left="567"/>
            <w:jc w:val="left"/>
            <w:rPr>
              <w:rFonts w:ascii="Arial Narrow" w:hAnsi="Arial Narrow"/>
              <w:color w:val="FFFFFF" w:themeColor="background1"/>
              <w:sz w:val="24"/>
            </w:rPr>
          </w:pPr>
          <w:r>
            <w:t xml:space="preserve"> </w:t>
          </w:r>
          <w:r w:rsidRPr="00EC59A6">
            <w:rPr>
              <w:rFonts w:ascii="Arial Narrow" w:hAnsi="Arial Narrow"/>
              <w:color w:val="FFFFFF" w:themeColor="background1"/>
              <w:sz w:val="24"/>
            </w:rPr>
            <w:t>MIGRAZIONI INTERNE E INTERNAZIONALI DELLA POPOLAZIONE RESIDENTE</w:t>
          </w:r>
        </w:p>
      </w:tc>
      <w:tc>
        <w:tcPr>
          <w:tcW w:w="3016" w:type="dxa"/>
          <w:shd w:val="clear" w:color="auto" w:fill="1F497D" w:themeFill="text2"/>
          <w:vAlign w:val="center"/>
        </w:tcPr>
        <w:p w14:paraId="2395F52B" w14:textId="77777777" w:rsidR="00C23107" w:rsidRPr="00DD6CCE" w:rsidRDefault="00C23107"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4896" behindDoc="0" locked="0" layoutInCell="1" allowOverlap="1" wp14:anchorId="2F4DE121" wp14:editId="59C271E6">
                <wp:simplePos x="0" y="0"/>
                <wp:positionH relativeFrom="column">
                  <wp:posOffset>598805</wp:posOffset>
                </wp:positionH>
                <wp:positionV relativeFrom="paragraph">
                  <wp:posOffset>-1905</wp:posOffset>
                </wp:positionV>
                <wp:extent cx="695325" cy="198120"/>
                <wp:effectExtent l="0" t="0" r="952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3AC25783" w14:textId="77777777" w:rsidR="00C23107" w:rsidRPr="007D0BF5" w:rsidRDefault="00C23107"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2" w15:restartNumberingAfterBreak="0">
    <w:nsid w:val="2BBF037C"/>
    <w:multiLevelType w:val="multilevel"/>
    <w:tmpl w:val="D346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B08D7"/>
    <w:multiLevelType w:val="hybridMultilevel"/>
    <w:tmpl w:val="813AF584"/>
    <w:lvl w:ilvl="0" w:tplc="6FACA4A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0075884"/>
    <w:multiLevelType w:val="multilevel"/>
    <w:tmpl w:val="FB30E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551A63"/>
    <w:multiLevelType w:val="multilevel"/>
    <w:tmpl w:val="F33CD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AF03AAA"/>
    <w:multiLevelType w:val="hybridMultilevel"/>
    <w:tmpl w:val="9F04EC02"/>
    <w:lvl w:ilvl="0" w:tplc="AB080760">
      <w:start w:val="1"/>
      <w:numFmt w:val="bullet"/>
      <w:lvlText w:val=""/>
      <w:lvlJc w:val="left"/>
      <w:pPr>
        <w:tabs>
          <w:tab w:val="num" w:pos="340"/>
        </w:tabs>
        <w:ind w:left="0" w:firstLine="0"/>
      </w:pPr>
      <w:rPr>
        <w:rFonts w:ascii="Wingdings" w:hAnsi="Wingdings" w:hint="default"/>
        <w:b w:val="0"/>
        <w:i w:val="0"/>
        <w:color w:val="003366"/>
        <w:spacing w:val="0"/>
        <w:sz w:val="24"/>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5"/>
  </w:num>
  <w:num w:numId="6">
    <w:abstractNumId w:val="9"/>
  </w:num>
  <w:num w:numId="7">
    <w:abstractNumId w:val="3"/>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it-IT" w:vendorID="64" w:dllVersion="0" w:nlCheck="1" w:checkStyle="0"/>
  <w:activeWritingStyle w:appName="MSWord" w:lang="en-US" w:vendorID="64" w:dllVersion="6" w:nlCheck="1" w:checkStyle="1"/>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FF"/>
    <w:rsid w:val="0000053D"/>
    <w:rsid w:val="00000825"/>
    <w:rsid w:val="00000DE6"/>
    <w:rsid w:val="0000107C"/>
    <w:rsid w:val="00001763"/>
    <w:rsid w:val="000020C7"/>
    <w:rsid w:val="00002116"/>
    <w:rsid w:val="00002177"/>
    <w:rsid w:val="00002AED"/>
    <w:rsid w:val="0000396F"/>
    <w:rsid w:val="00003E56"/>
    <w:rsid w:val="00004227"/>
    <w:rsid w:val="000042EB"/>
    <w:rsid w:val="00006D10"/>
    <w:rsid w:val="00007066"/>
    <w:rsid w:val="000071CE"/>
    <w:rsid w:val="0000734C"/>
    <w:rsid w:val="000075FC"/>
    <w:rsid w:val="00007742"/>
    <w:rsid w:val="0000784B"/>
    <w:rsid w:val="00007CBD"/>
    <w:rsid w:val="00007F49"/>
    <w:rsid w:val="00010170"/>
    <w:rsid w:val="00010BD3"/>
    <w:rsid w:val="00010F8F"/>
    <w:rsid w:val="00011037"/>
    <w:rsid w:val="000114C9"/>
    <w:rsid w:val="00011C2F"/>
    <w:rsid w:val="00011DE9"/>
    <w:rsid w:val="00012348"/>
    <w:rsid w:val="00012685"/>
    <w:rsid w:val="00012B14"/>
    <w:rsid w:val="00013458"/>
    <w:rsid w:val="000134B8"/>
    <w:rsid w:val="00014765"/>
    <w:rsid w:val="00014F90"/>
    <w:rsid w:val="00015130"/>
    <w:rsid w:val="0001544F"/>
    <w:rsid w:val="00016F4D"/>
    <w:rsid w:val="0001738B"/>
    <w:rsid w:val="000176EC"/>
    <w:rsid w:val="000208E2"/>
    <w:rsid w:val="0002096E"/>
    <w:rsid w:val="000209FA"/>
    <w:rsid w:val="00021645"/>
    <w:rsid w:val="00022348"/>
    <w:rsid w:val="000224DE"/>
    <w:rsid w:val="0002257A"/>
    <w:rsid w:val="000226FD"/>
    <w:rsid w:val="00022DF8"/>
    <w:rsid w:val="000237D0"/>
    <w:rsid w:val="00023B4F"/>
    <w:rsid w:val="00023B7E"/>
    <w:rsid w:val="00023C73"/>
    <w:rsid w:val="0002428F"/>
    <w:rsid w:val="0002505D"/>
    <w:rsid w:val="00025711"/>
    <w:rsid w:val="00025AE8"/>
    <w:rsid w:val="00025EC0"/>
    <w:rsid w:val="00026B2F"/>
    <w:rsid w:val="000279D5"/>
    <w:rsid w:val="000306D6"/>
    <w:rsid w:val="00030D17"/>
    <w:rsid w:val="00031115"/>
    <w:rsid w:val="0003264F"/>
    <w:rsid w:val="0003298F"/>
    <w:rsid w:val="00033165"/>
    <w:rsid w:val="00033F2B"/>
    <w:rsid w:val="0003428E"/>
    <w:rsid w:val="000343A2"/>
    <w:rsid w:val="00035516"/>
    <w:rsid w:val="00036154"/>
    <w:rsid w:val="00036352"/>
    <w:rsid w:val="00036676"/>
    <w:rsid w:val="00037C1C"/>
    <w:rsid w:val="00037E88"/>
    <w:rsid w:val="000401BA"/>
    <w:rsid w:val="0004131D"/>
    <w:rsid w:val="000415EF"/>
    <w:rsid w:val="00041838"/>
    <w:rsid w:val="00041DC5"/>
    <w:rsid w:val="000421FA"/>
    <w:rsid w:val="000423E6"/>
    <w:rsid w:val="000425AA"/>
    <w:rsid w:val="000426E7"/>
    <w:rsid w:val="00042B99"/>
    <w:rsid w:val="00043696"/>
    <w:rsid w:val="000444BF"/>
    <w:rsid w:val="00044BA7"/>
    <w:rsid w:val="00045053"/>
    <w:rsid w:val="0004526F"/>
    <w:rsid w:val="00045472"/>
    <w:rsid w:val="000463B5"/>
    <w:rsid w:val="000467F2"/>
    <w:rsid w:val="0004706B"/>
    <w:rsid w:val="000473F9"/>
    <w:rsid w:val="00047479"/>
    <w:rsid w:val="0004769F"/>
    <w:rsid w:val="000476DC"/>
    <w:rsid w:val="00047891"/>
    <w:rsid w:val="00047A1F"/>
    <w:rsid w:val="00047DBA"/>
    <w:rsid w:val="000507CF"/>
    <w:rsid w:val="000512EA"/>
    <w:rsid w:val="00051587"/>
    <w:rsid w:val="0005356B"/>
    <w:rsid w:val="000535F6"/>
    <w:rsid w:val="0005382C"/>
    <w:rsid w:val="000539CE"/>
    <w:rsid w:val="000541C4"/>
    <w:rsid w:val="000541EC"/>
    <w:rsid w:val="0005451A"/>
    <w:rsid w:val="00055B88"/>
    <w:rsid w:val="00057287"/>
    <w:rsid w:val="00057EFB"/>
    <w:rsid w:val="00057FFE"/>
    <w:rsid w:val="000613D2"/>
    <w:rsid w:val="00061C4E"/>
    <w:rsid w:val="0006267A"/>
    <w:rsid w:val="0006278F"/>
    <w:rsid w:val="00062A73"/>
    <w:rsid w:val="00063871"/>
    <w:rsid w:val="00063FE1"/>
    <w:rsid w:val="00064102"/>
    <w:rsid w:val="0006439B"/>
    <w:rsid w:val="000646C1"/>
    <w:rsid w:val="000664AE"/>
    <w:rsid w:val="000665DC"/>
    <w:rsid w:val="00066F5C"/>
    <w:rsid w:val="000679B2"/>
    <w:rsid w:val="00070378"/>
    <w:rsid w:val="0007093C"/>
    <w:rsid w:val="00070FF7"/>
    <w:rsid w:val="0007144B"/>
    <w:rsid w:val="000717CD"/>
    <w:rsid w:val="000717FC"/>
    <w:rsid w:val="0007183B"/>
    <w:rsid w:val="000718B8"/>
    <w:rsid w:val="00071F99"/>
    <w:rsid w:val="000722A1"/>
    <w:rsid w:val="0007246C"/>
    <w:rsid w:val="00072EE8"/>
    <w:rsid w:val="0007346F"/>
    <w:rsid w:val="0007364E"/>
    <w:rsid w:val="00073656"/>
    <w:rsid w:val="000737C5"/>
    <w:rsid w:val="000747B1"/>
    <w:rsid w:val="0007490C"/>
    <w:rsid w:val="00074F21"/>
    <w:rsid w:val="00075049"/>
    <w:rsid w:val="00076B04"/>
    <w:rsid w:val="00076EF0"/>
    <w:rsid w:val="00077332"/>
    <w:rsid w:val="00077375"/>
    <w:rsid w:val="00080193"/>
    <w:rsid w:val="000808AF"/>
    <w:rsid w:val="00081200"/>
    <w:rsid w:val="00081681"/>
    <w:rsid w:val="0008211B"/>
    <w:rsid w:val="00082316"/>
    <w:rsid w:val="000824CF"/>
    <w:rsid w:val="00082E5B"/>
    <w:rsid w:val="00082ED0"/>
    <w:rsid w:val="00082F25"/>
    <w:rsid w:val="00082F91"/>
    <w:rsid w:val="00083EA8"/>
    <w:rsid w:val="0008427D"/>
    <w:rsid w:val="000843B1"/>
    <w:rsid w:val="0008459E"/>
    <w:rsid w:val="00084CE7"/>
    <w:rsid w:val="0008505A"/>
    <w:rsid w:val="000854D9"/>
    <w:rsid w:val="0008573D"/>
    <w:rsid w:val="00085D39"/>
    <w:rsid w:val="000860AB"/>
    <w:rsid w:val="00086249"/>
    <w:rsid w:val="00086456"/>
    <w:rsid w:val="000868DA"/>
    <w:rsid w:val="0008701E"/>
    <w:rsid w:val="00087545"/>
    <w:rsid w:val="00087F2B"/>
    <w:rsid w:val="00090DF7"/>
    <w:rsid w:val="00091EAE"/>
    <w:rsid w:val="000924BC"/>
    <w:rsid w:val="00092590"/>
    <w:rsid w:val="00092E83"/>
    <w:rsid w:val="000934B8"/>
    <w:rsid w:val="00093C5A"/>
    <w:rsid w:val="000940FB"/>
    <w:rsid w:val="00094623"/>
    <w:rsid w:val="00094BCD"/>
    <w:rsid w:val="0009512D"/>
    <w:rsid w:val="0009519B"/>
    <w:rsid w:val="00095707"/>
    <w:rsid w:val="00095DCC"/>
    <w:rsid w:val="00096098"/>
    <w:rsid w:val="00096BD5"/>
    <w:rsid w:val="00097BEE"/>
    <w:rsid w:val="000A02F0"/>
    <w:rsid w:val="000A0304"/>
    <w:rsid w:val="000A1A44"/>
    <w:rsid w:val="000A2B36"/>
    <w:rsid w:val="000A2CE3"/>
    <w:rsid w:val="000A35DD"/>
    <w:rsid w:val="000A3DA6"/>
    <w:rsid w:val="000A3F78"/>
    <w:rsid w:val="000A42BF"/>
    <w:rsid w:val="000A4F3E"/>
    <w:rsid w:val="000A5962"/>
    <w:rsid w:val="000A5C91"/>
    <w:rsid w:val="000A6736"/>
    <w:rsid w:val="000A6EC8"/>
    <w:rsid w:val="000A723C"/>
    <w:rsid w:val="000B0188"/>
    <w:rsid w:val="000B0E1B"/>
    <w:rsid w:val="000B0F5F"/>
    <w:rsid w:val="000B1AFD"/>
    <w:rsid w:val="000B25E0"/>
    <w:rsid w:val="000B2771"/>
    <w:rsid w:val="000B2DE4"/>
    <w:rsid w:val="000B33BB"/>
    <w:rsid w:val="000B398C"/>
    <w:rsid w:val="000B3C2F"/>
    <w:rsid w:val="000B4257"/>
    <w:rsid w:val="000B4826"/>
    <w:rsid w:val="000B49F5"/>
    <w:rsid w:val="000B54EA"/>
    <w:rsid w:val="000B59A4"/>
    <w:rsid w:val="000B5CF0"/>
    <w:rsid w:val="000B5F30"/>
    <w:rsid w:val="000B5F37"/>
    <w:rsid w:val="000B6060"/>
    <w:rsid w:val="000B68CB"/>
    <w:rsid w:val="000B6E6E"/>
    <w:rsid w:val="000B78AF"/>
    <w:rsid w:val="000B79A4"/>
    <w:rsid w:val="000C0E96"/>
    <w:rsid w:val="000C1F03"/>
    <w:rsid w:val="000C1F64"/>
    <w:rsid w:val="000C1FEE"/>
    <w:rsid w:val="000C23C8"/>
    <w:rsid w:val="000C24A9"/>
    <w:rsid w:val="000C2AF7"/>
    <w:rsid w:val="000C2FC4"/>
    <w:rsid w:val="000C348E"/>
    <w:rsid w:val="000C3ACA"/>
    <w:rsid w:val="000C3D3C"/>
    <w:rsid w:val="000C4153"/>
    <w:rsid w:val="000C4223"/>
    <w:rsid w:val="000C43AD"/>
    <w:rsid w:val="000C4B99"/>
    <w:rsid w:val="000C51C7"/>
    <w:rsid w:val="000C56E5"/>
    <w:rsid w:val="000C5D95"/>
    <w:rsid w:val="000C5DC0"/>
    <w:rsid w:val="000C5E6D"/>
    <w:rsid w:val="000C5F6E"/>
    <w:rsid w:val="000C60D8"/>
    <w:rsid w:val="000C683D"/>
    <w:rsid w:val="000C6D3F"/>
    <w:rsid w:val="000C6FC4"/>
    <w:rsid w:val="000C7AF6"/>
    <w:rsid w:val="000C7CB9"/>
    <w:rsid w:val="000C7E7F"/>
    <w:rsid w:val="000D01FA"/>
    <w:rsid w:val="000D058E"/>
    <w:rsid w:val="000D06E7"/>
    <w:rsid w:val="000D07B4"/>
    <w:rsid w:val="000D14BF"/>
    <w:rsid w:val="000D1C5C"/>
    <w:rsid w:val="000D1C88"/>
    <w:rsid w:val="000D1FF1"/>
    <w:rsid w:val="000D20C3"/>
    <w:rsid w:val="000D31ED"/>
    <w:rsid w:val="000D3343"/>
    <w:rsid w:val="000D35FE"/>
    <w:rsid w:val="000D3B81"/>
    <w:rsid w:val="000D3BE3"/>
    <w:rsid w:val="000D4700"/>
    <w:rsid w:val="000D49B6"/>
    <w:rsid w:val="000D5768"/>
    <w:rsid w:val="000D5E76"/>
    <w:rsid w:val="000D61A6"/>
    <w:rsid w:val="000D72B1"/>
    <w:rsid w:val="000D756B"/>
    <w:rsid w:val="000D758D"/>
    <w:rsid w:val="000E01E0"/>
    <w:rsid w:val="000E0402"/>
    <w:rsid w:val="000E0B96"/>
    <w:rsid w:val="000E0F08"/>
    <w:rsid w:val="000E17CE"/>
    <w:rsid w:val="000E1916"/>
    <w:rsid w:val="000E1AC9"/>
    <w:rsid w:val="000E1C93"/>
    <w:rsid w:val="000E1DA1"/>
    <w:rsid w:val="000E2017"/>
    <w:rsid w:val="000E2097"/>
    <w:rsid w:val="000E28C7"/>
    <w:rsid w:val="000E2A6D"/>
    <w:rsid w:val="000E2C69"/>
    <w:rsid w:val="000E3177"/>
    <w:rsid w:val="000E3182"/>
    <w:rsid w:val="000E36FF"/>
    <w:rsid w:val="000E3817"/>
    <w:rsid w:val="000E41B4"/>
    <w:rsid w:val="000E47B2"/>
    <w:rsid w:val="000E4AB8"/>
    <w:rsid w:val="000E4C5D"/>
    <w:rsid w:val="000E4D8A"/>
    <w:rsid w:val="000E4DA1"/>
    <w:rsid w:val="000E5511"/>
    <w:rsid w:val="000E5BEC"/>
    <w:rsid w:val="000E5C77"/>
    <w:rsid w:val="000E656C"/>
    <w:rsid w:val="000E7CFC"/>
    <w:rsid w:val="000E7D78"/>
    <w:rsid w:val="000F080C"/>
    <w:rsid w:val="000F0834"/>
    <w:rsid w:val="000F0DE8"/>
    <w:rsid w:val="000F10B8"/>
    <w:rsid w:val="000F16DD"/>
    <w:rsid w:val="000F191D"/>
    <w:rsid w:val="000F2103"/>
    <w:rsid w:val="000F255B"/>
    <w:rsid w:val="000F25D5"/>
    <w:rsid w:val="000F28CD"/>
    <w:rsid w:val="000F2C10"/>
    <w:rsid w:val="000F2CE6"/>
    <w:rsid w:val="000F399B"/>
    <w:rsid w:val="000F3EE9"/>
    <w:rsid w:val="000F440B"/>
    <w:rsid w:val="000F4EE1"/>
    <w:rsid w:val="000F54E2"/>
    <w:rsid w:val="000F56AC"/>
    <w:rsid w:val="000F56B4"/>
    <w:rsid w:val="000F5E14"/>
    <w:rsid w:val="000F5F7E"/>
    <w:rsid w:val="000F61BC"/>
    <w:rsid w:val="000F6536"/>
    <w:rsid w:val="000F6911"/>
    <w:rsid w:val="000F6BD7"/>
    <w:rsid w:val="000F6D28"/>
    <w:rsid w:val="000F7212"/>
    <w:rsid w:val="000F73C6"/>
    <w:rsid w:val="000F7425"/>
    <w:rsid w:val="000F7789"/>
    <w:rsid w:val="000F7E7C"/>
    <w:rsid w:val="000F7FE2"/>
    <w:rsid w:val="0010009A"/>
    <w:rsid w:val="00100418"/>
    <w:rsid w:val="00101A70"/>
    <w:rsid w:val="00101B2E"/>
    <w:rsid w:val="00101EBD"/>
    <w:rsid w:val="00102019"/>
    <w:rsid w:val="00102064"/>
    <w:rsid w:val="00102103"/>
    <w:rsid w:val="00102185"/>
    <w:rsid w:val="00102284"/>
    <w:rsid w:val="00102445"/>
    <w:rsid w:val="001035E3"/>
    <w:rsid w:val="001038B2"/>
    <w:rsid w:val="00103DBD"/>
    <w:rsid w:val="001042B2"/>
    <w:rsid w:val="00104474"/>
    <w:rsid w:val="00104E17"/>
    <w:rsid w:val="001050D9"/>
    <w:rsid w:val="001051FB"/>
    <w:rsid w:val="00105689"/>
    <w:rsid w:val="00105931"/>
    <w:rsid w:val="001059FA"/>
    <w:rsid w:val="00105F28"/>
    <w:rsid w:val="001061E0"/>
    <w:rsid w:val="00106723"/>
    <w:rsid w:val="00111291"/>
    <w:rsid w:val="00111483"/>
    <w:rsid w:val="001119DF"/>
    <w:rsid w:val="00111A00"/>
    <w:rsid w:val="00111A23"/>
    <w:rsid w:val="00111DB1"/>
    <w:rsid w:val="001129C5"/>
    <w:rsid w:val="00112B06"/>
    <w:rsid w:val="00112D4E"/>
    <w:rsid w:val="00112DB1"/>
    <w:rsid w:val="001130CF"/>
    <w:rsid w:val="00113587"/>
    <w:rsid w:val="001143A5"/>
    <w:rsid w:val="00115901"/>
    <w:rsid w:val="00117291"/>
    <w:rsid w:val="0011736A"/>
    <w:rsid w:val="00117576"/>
    <w:rsid w:val="00117585"/>
    <w:rsid w:val="001178D5"/>
    <w:rsid w:val="00117C9A"/>
    <w:rsid w:val="00117FE2"/>
    <w:rsid w:val="001216F3"/>
    <w:rsid w:val="001222CF"/>
    <w:rsid w:val="0012253F"/>
    <w:rsid w:val="0012282C"/>
    <w:rsid w:val="00122AF1"/>
    <w:rsid w:val="00123033"/>
    <w:rsid w:val="001230AE"/>
    <w:rsid w:val="0012394C"/>
    <w:rsid w:val="00123CAE"/>
    <w:rsid w:val="00123E17"/>
    <w:rsid w:val="00124010"/>
    <w:rsid w:val="00124DCB"/>
    <w:rsid w:val="0012509A"/>
    <w:rsid w:val="00125760"/>
    <w:rsid w:val="001266B6"/>
    <w:rsid w:val="00126DB0"/>
    <w:rsid w:val="001273E0"/>
    <w:rsid w:val="00127809"/>
    <w:rsid w:val="00127A7C"/>
    <w:rsid w:val="00127BDB"/>
    <w:rsid w:val="001304A9"/>
    <w:rsid w:val="001304AD"/>
    <w:rsid w:val="00130A8B"/>
    <w:rsid w:val="00131166"/>
    <w:rsid w:val="001312EE"/>
    <w:rsid w:val="001315C9"/>
    <w:rsid w:val="00131B50"/>
    <w:rsid w:val="00132E94"/>
    <w:rsid w:val="00133310"/>
    <w:rsid w:val="00133ACC"/>
    <w:rsid w:val="00134092"/>
    <w:rsid w:val="001349F8"/>
    <w:rsid w:val="00134B8E"/>
    <w:rsid w:val="001350C3"/>
    <w:rsid w:val="001352D2"/>
    <w:rsid w:val="00135378"/>
    <w:rsid w:val="00135B50"/>
    <w:rsid w:val="00135B6D"/>
    <w:rsid w:val="00136280"/>
    <w:rsid w:val="001365DB"/>
    <w:rsid w:val="001365F6"/>
    <w:rsid w:val="00136A09"/>
    <w:rsid w:val="00137942"/>
    <w:rsid w:val="00137C1A"/>
    <w:rsid w:val="00140927"/>
    <w:rsid w:val="00140C52"/>
    <w:rsid w:val="00140DFF"/>
    <w:rsid w:val="00141886"/>
    <w:rsid w:val="00141AB5"/>
    <w:rsid w:val="00141F93"/>
    <w:rsid w:val="0014220E"/>
    <w:rsid w:val="00142E5D"/>
    <w:rsid w:val="0014327D"/>
    <w:rsid w:val="0014340B"/>
    <w:rsid w:val="00143829"/>
    <w:rsid w:val="001450F4"/>
    <w:rsid w:val="001460AD"/>
    <w:rsid w:val="001471E6"/>
    <w:rsid w:val="00150C3C"/>
    <w:rsid w:val="001512E9"/>
    <w:rsid w:val="001517D8"/>
    <w:rsid w:val="00151F1A"/>
    <w:rsid w:val="001523E8"/>
    <w:rsid w:val="00152C53"/>
    <w:rsid w:val="00152EFE"/>
    <w:rsid w:val="00153311"/>
    <w:rsid w:val="001533D6"/>
    <w:rsid w:val="001537A3"/>
    <w:rsid w:val="001537BE"/>
    <w:rsid w:val="00154031"/>
    <w:rsid w:val="0015425B"/>
    <w:rsid w:val="00154931"/>
    <w:rsid w:val="00154B7E"/>
    <w:rsid w:val="00155A0E"/>
    <w:rsid w:val="00155E36"/>
    <w:rsid w:val="00156575"/>
    <w:rsid w:val="00156870"/>
    <w:rsid w:val="001569C5"/>
    <w:rsid w:val="00156D16"/>
    <w:rsid w:val="00157219"/>
    <w:rsid w:val="00157ED8"/>
    <w:rsid w:val="00157F5E"/>
    <w:rsid w:val="00160D0C"/>
    <w:rsid w:val="001614C5"/>
    <w:rsid w:val="00161868"/>
    <w:rsid w:val="00161A02"/>
    <w:rsid w:val="00162CC0"/>
    <w:rsid w:val="00163045"/>
    <w:rsid w:val="0016359C"/>
    <w:rsid w:val="00163CE2"/>
    <w:rsid w:val="00163DA5"/>
    <w:rsid w:val="00164770"/>
    <w:rsid w:val="00164DD7"/>
    <w:rsid w:val="0016592A"/>
    <w:rsid w:val="00165FA8"/>
    <w:rsid w:val="001661A6"/>
    <w:rsid w:val="001661BE"/>
    <w:rsid w:val="001663CB"/>
    <w:rsid w:val="00166A55"/>
    <w:rsid w:val="00167170"/>
    <w:rsid w:val="00170AC8"/>
    <w:rsid w:val="00170EB4"/>
    <w:rsid w:val="00171303"/>
    <w:rsid w:val="001714E3"/>
    <w:rsid w:val="00171776"/>
    <w:rsid w:val="00171977"/>
    <w:rsid w:val="00171A8E"/>
    <w:rsid w:val="001727F5"/>
    <w:rsid w:val="00173008"/>
    <w:rsid w:val="001730E3"/>
    <w:rsid w:val="00173B14"/>
    <w:rsid w:val="00174FE1"/>
    <w:rsid w:val="001754E7"/>
    <w:rsid w:val="00175535"/>
    <w:rsid w:val="00175C6E"/>
    <w:rsid w:val="001761CF"/>
    <w:rsid w:val="00176B5D"/>
    <w:rsid w:val="00176D20"/>
    <w:rsid w:val="001772F1"/>
    <w:rsid w:val="0018019C"/>
    <w:rsid w:val="00180744"/>
    <w:rsid w:val="00180E98"/>
    <w:rsid w:val="00181074"/>
    <w:rsid w:val="00181263"/>
    <w:rsid w:val="001815CC"/>
    <w:rsid w:val="00181C60"/>
    <w:rsid w:val="001824CF"/>
    <w:rsid w:val="001826FE"/>
    <w:rsid w:val="00182894"/>
    <w:rsid w:val="001830A6"/>
    <w:rsid w:val="00183625"/>
    <w:rsid w:val="00184375"/>
    <w:rsid w:val="00185665"/>
    <w:rsid w:val="00185A19"/>
    <w:rsid w:val="00185BF0"/>
    <w:rsid w:val="0018698A"/>
    <w:rsid w:val="00187341"/>
    <w:rsid w:val="00187A91"/>
    <w:rsid w:val="00190006"/>
    <w:rsid w:val="00190158"/>
    <w:rsid w:val="00190ADC"/>
    <w:rsid w:val="001913B9"/>
    <w:rsid w:val="00191477"/>
    <w:rsid w:val="00191563"/>
    <w:rsid w:val="001917F1"/>
    <w:rsid w:val="00191E64"/>
    <w:rsid w:val="00191EA1"/>
    <w:rsid w:val="00193A8D"/>
    <w:rsid w:val="00194275"/>
    <w:rsid w:val="00194943"/>
    <w:rsid w:val="00194C8E"/>
    <w:rsid w:val="00194EC1"/>
    <w:rsid w:val="00194F41"/>
    <w:rsid w:val="00195299"/>
    <w:rsid w:val="00195481"/>
    <w:rsid w:val="001954CD"/>
    <w:rsid w:val="001958B2"/>
    <w:rsid w:val="0019616E"/>
    <w:rsid w:val="001968C8"/>
    <w:rsid w:val="001968E3"/>
    <w:rsid w:val="00196BA3"/>
    <w:rsid w:val="00196EF1"/>
    <w:rsid w:val="0019745C"/>
    <w:rsid w:val="0019759E"/>
    <w:rsid w:val="00197D76"/>
    <w:rsid w:val="001A0217"/>
    <w:rsid w:val="001A10C1"/>
    <w:rsid w:val="001A1346"/>
    <w:rsid w:val="001A24AD"/>
    <w:rsid w:val="001A29C8"/>
    <w:rsid w:val="001A2E0D"/>
    <w:rsid w:val="001A484A"/>
    <w:rsid w:val="001A4C6D"/>
    <w:rsid w:val="001A4D93"/>
    <w:rsid w:val="001A55BD"/>
    <w:rsid w:val="001A5EB6"/>
    <w:rsid w:val="001A611B"/>
    <w:rsid w:val="001A62B0"/>
    <w:rsid w:val="001A62B5"/>
    <w:rsid w:val="001A7CAF"/>
    <w:rsid w:val="001A7F1A"/>
    <w:rsid w:val="001B10C3"/>
    <w:rsid w:val="001B1DB1"/>
    <w:rsid w:val="001B2BDE"/>
    <w:rsid w:val="001B32E7"/>
    <w:rsid w:val="001B338A"/>
    <w:rsid w:val="001B33C8"/>
    <w:rsid w:val="001B3B21"/>
    <w:rsid w:val="001B40FF"/>
    <w:rsid w:val="001B41C2"/>
    <w:rsid w:val="001B4D79"/>
    <w:rsid w:val="001B5391"/>
    <w:rsid w:val="001B64E1"/>
    <w:rsid w:val="001B65FB"/>
    <w:rsid w:val="001B73DD"/>
    <w:rsid w:val="001B743D"/>
    <w:rsid w:val="001B745D"/>
    <w:rsid w:val="001B7D41"/>
    <w:rsid w:val="001C0092"/>
    <w:rsid w:val="001C03DA"/>
    <w:rsid w:val="001C0547"/>
    <w:rsid w:val="001C0BF3"/>
    <w:rsid w:val="001C0F22"/>
    <w:rsid w:val="001C0F69"/>
    <w:rsid w:val="001C1359"/>
    <w:rsid w:val="001C333E"/>
    <w:rsid w:val="001C3445"/>
    <w:rsid w:val="001C3756"/>
    <w:rsid w:val="001C3851"/>
    <w:rsid w:val="001C3E12"/>
    <w:rsid w:val="001C4376"/>
    <w:rsid w:val="001C4616"/>
    <w:rsid w:val="001C6222"/>
    <w:rsid w:val="001C635F"/>
    <w:rsid w:val="001C6B97"/>
    <w:rsid w:val="001C6D75"/>
    <w:rsid w:val="001C77B0"/>
    <w:rsid w:val="001D0137"/>
    <w:rsid w:val="001D06B6"/>
    <w:rsid w:val="001D0EB7"/>
    <w:rsid w:val="001D2AAA"/>
    <w:rsid w:val="001D32D2"/>
    <w:rsid w:val="001D3DA7"/>
    <w:rsid w:val="001D3E78"/>
    <w:rsid w:val="001D46FC"/>
    <w:rsid w:val="001D475E"/>
    <w:rsid w:val="001D5186"/>
    <w:rsid w:val="001D53F1"/>
    <w:rsid w:val="001D5578"/>
    <w:rsid w:val="001D5FE8"/>
    <w:rsid w:val="001D6301"/>
    <w:rsid w:val="001D64EE"/>
    <w:rsid w:val="001D68A6"/>
    <w:rsid w:val="001D6A1B"/>
    <w:rsid w:val="001D6BC4"/>
    <w:rsid w:val="001D6C50"/>
    <w:rsid w:val="001D6FBA"/>
    <w:rsid w:val="001D7102"/>
    <w:rsid w:val="001D75A9"/>
    <w:rsid w:val="001D7974"/>
    <w:rsid w:val="001D7A31"/>
    <w:rsid w:val="001D7A7B"/>
    <w:rsid w:val="001D7A90"/>
    <w:rsid w:val="001D7ABE"/>
    <w:rsid w:val="001D7ED4"/>
    <w:rsid w:val="001E1028"/>
    <w:rsid w:val="001E1BA2"/>
    <w:rsid w:val="001E2B96"/>
    <w:rsid w:val="001E3573"/>
    <w:rsid w:val="001E42F3"/>
    <w:rsid w:val="001E4F88"/>
    <w:rsid w:val="001E5DE3"/>
    <w:rsid w:val="001E5F21"/>
    <w:rsid w:val="001E6D2C"/>
    <w:rsid w:val="001E758E"/>
    <w:rsid w:val="001E7641"/>
    <w:rsid w:val="001E7678"/>
    <w:rsid w:val="001E7DAC"/>
    <w:rsid w:val="001F0DF5"/>
    <w:rsid w:val="001F1697"/>
    <w:rsid w:val="001F24DC"/>
    <w:rsid w:val="001F29B0"/>
    <w:rsid w:val="001F2DCA"/>
    <w:rsid w:val="001F2E93"/>
    <w:rsid w:val="001F3589"/>
    <w:rsid w:val="001F486C"/>
    <w:rsid w:val="001F4CD6"/>
    <w:rsid w:val="001F4D05"/>
    <w:rsid w:val="001F5214"/>
    <w:rsid w:val="001F58C7"/>
    <w:rsid w:val="001F5D7B"/>
    <w:rsid w:val="001F609C"/>
    <w:rsid w:val="001F61BA"/>
    <w:rsid w:val="001F621C"/>
    <w:rsid w:val="001F6677"/>
    <w:rsid w:val="002000AC"/>
    <w:rsid w:val="00200270"/>
    <w:rsid w:val="0020031D"/>
    <w:rsid w:val="002005F1"/>
    <w:rsid w:val="00200669"/>
    <w:rsid w:val="0020087D"/>
    <w:rsid w:val="00200AA9"/>
    <w:rsid w:val="00200F17"/>
    <w:rsid w:val="00200FD6"/>
    <w:rsid w:val="00201C4C"/>
    <w:rsid w:val="0020229F"/>
    <w:rsid w:val="002023EB"/>
    <w:rsid w:val="00202693"/>
    <w:rsid w:val="00202C51"/>
    <w:rsid w:val="00202D5E"/>
    <w:rsid w:val="00202E62"/>
    <w:rsid w:val="002031E5"/>
    <w:rsid w:val="00203F9E"/>
    <w:rsid w:val="0020556C"/>
    <w:rsid w:val="00205589"/>
    <w:rsid w:val="002056F7"/>
    <w:rsid w:val="00205ADF"/>
    <w:rsid w:val="00205D0A"/>
    <w:rsid w:val="002067F9"/>
    <w:rsid w:val="00206DEE"/>
    <w:rsid w:val="002072B2"/>
    <w:rsid w:val="00210275"/>
    <w:rsid w:val="002103C3"/>
    <w:rsid w:val="00210720"/>
    <w:rsid w:val="00210C42"/>
    <w:rsid w:val="00210D17"/>
    <w:rsid w:val="00210DA8"/>
    <w:rsid w:val="00210DE0"/>
    <w:rsid w:val="0021197E"/>
    <w:rsid w:val="00211D77"/>
    <w:rsid w:val="00212529"/>
    <w:rsid w:val="0021285C"/>
    <w:rsid w:val="00212F11"/>
    <w:rsid w:val="002137BA"/>
    <w:rsid w:val="00214095"/>
    <w:rsid w:val="00214722"/>
    <w:rsid w:val="00214B49"/>
    <w:rsid w:val="002153E6"/>
    <w:rsid w:val="00215FD0"/>
    <w:rsid w:val="00217C33"/>
    <w:rsid w:val="00217E4F"/>
    <w:rsid w:val="00220D5E"/>
    <w:rsid w:val="00220F99"/>
    <w:rsid w:val="00221079"/>
    <w:rsid w:val="00221CFA"/>
    <w:rsid w:val="002222D4"/>
    <w:rsid w:val="00222966"/>
    <w:rsid w:val="002236B4"/>
    <w:rsid w:val="002245DD"/>
    <w:rsid w:val="0022478C"/>
    <w:rsid w:val="002247FC"/>
    <w:rsid w:val="00224936"/>
    <w:rsid w:val="00224ECE"/>
    <w:rsid w:val="0022588A"/>
    <w:rsid w:val="00225A82"/>
    <w:rsid w:val="00225B32"/>
    <w:rsid w:val="00225B97"/>
    <w:rsid w:val="00226116"/>
    <w:rsid w:val="002261D9"/>
    <w:rsid w:val="00226676"/>
    <w:rsid w:val="002266B4"/>
    <w:rsid w:val="002268E7"/>
    <w:rsid w:val="00226C04"/>
    <w:rsid w:val="00227740"/>
    <w:rsid w:val="00230239"/>
    <w:rsid w:val="0023067E"/>
    <w:rsid w:val="00230982"/>
    <w:rsid w:val="00230AF5"/>
    <w:rsid w:val="00230C39"/>
    <w:rsid w:val="00230D1D"/>
    <w:rsid w:val="00231BC5"/>
    <w:rsid w:val="002323B9"/>
    <w:rsid w:val="00232854"/>
    <w:rsid w:val="002330DF"/>
    <w:rsid w:val="00233163"/>
    <w:rsid w:val="00233276"/>
    <w:rsid w:val="002337A9"/>
    <w:rsid w:val="00233D1C"/>
    <w:rsid w:val="00234D42"/>
    <w:rsid w:val="002359B2"/>
    <w:rsid w:val="0023666D"/>
    <w:rsid w:val="00236BDB"/>
    <w:rsid w:val="002370CF"/>
    <w:rsid w:val="00237297"/>
    <w:rsid w:val="002372A4"/>
    <w:rsid w:val="0023793B"/>
    <w:rsid w:val="0023798C"/>
    <w:rsid w:val="00237BE7"/>
    <w:rsid w:val="00240297"/>
    <w:rsid w:val="002402C9"/>
    <w:rsid w:val="00240860"/>
    <w:rsid w:val="00240909"/>
    <w:rsid w:val="002415B8"/>
    <w:rsid w:val="002425DD"/>
    <w:rsid w:val="002427A6"/>
    <w:rsid w:val="002437D4"/>
    <w:rsid w:val="00243F15"/>
    <w:rsid w:val="00244329"/>
    <w:rsid w:val="002444DA"/>
    <w:rsid w:val="00244BE7"/>
    <w:rsid w:val="0024501A"/>
    <w:rsid w:val="002455D5"/>
    <w:rsid w:val="00246065"/>
    <w:rsid w:val="00246619"/>
    <w:rsid w:val="0024697E"/>
    <w:rsid w:val="00246BA9"/>
    <w:rsid w:val="00246D7E"/>
    <w:rsid w:val="00246E06"/>
    <w:rsid w:val="0024708F"/>
    <w:rsid w:val="00247796"/>
    <w:rsid w:val="00247DBE"/>
    <w:rsid w:val="00250448"/>
    <w:rsid w:val="00250570"/>
    <w:rsid w:val="00250A8D"/>
    <w:rsid w:val="00250D9D"/>
    <w:rsid w:val="002518F5"/>
    <w:rsid w:val="00251CA6"/>
    <w:rsid w:val="002521EC"/>
    <w:rsid w:val="0025287B"/>
    <w:rsid w:val="002533A7"/>
    <w:rsid w:val="002542DD"/>
    <w:rsid w:val="00254403"/>
    <w:rsid w:val="00254523"/>
    <w:rsid w:val="002546A6"/>
    <w:rsid w:val="0025480B"/>
    <w:rsid w:val="00254851"/>
    <w:rsid w:val="002548C3"/>
    <w:rsid w:val="002548C4"/>
    <w:rsid w:val="00254D72"/>
    <w:rsid w:val="0025570D"/>
    <w:rsid w:val="00255A74"/>
    <w:rsid w:val="00255D3D"/>
    <w:rsid w:val="00255DFF"/>
    <w:rsid w:val="002568A9"/>
    <w:rsid w:val="002568ED"/>
    <w:rsid w:val="00256EA4"/>
    <w:rsid w:val="002573E5"/>
    <w:rsid w:val="00257C91"/>
    <w:rsid w:val="002604A1"/>
    <w:rsid w:val="00260940"/>
    <w:rsid w:val="0026122A"/>
    <w:rsid w:val="002612F9"/>
    <w:rsid w:val="0026166B"/>
    <w:rsid w:val="002617CA"/>
    <w:rsid w:val="002617E8"/>
    <w:rsid w:val="00261BED"/>
    <w:rsid w:val="00261E46"/>
    <w:rsid w:val="0026221F"/>
    <w:rsid w:val="00262DAC"/>
    <w:rsid w:val="00263004"/>
    <w:rsid w:val="0026334D"/>
    <w:rsid w:val="00263991"/>
    <w:rsid w:val="00264190"/>
    <w:rsid w:val="002649E0"/>
    <w:rsid w:val="00264BF7"/>
    <w:rsid w:val="00264DC5"/>
    <w:rsid w:val="00264F3B"/>
    <w:rsid w:val="00264F5E"/>
    <w:rsid w:val="002655FE"/>
    <w:rsid w:val="002665A8"/>
    <w:rsid w:val="00266C71"/>
    <w:rsid w:val="002674BB"/>
    <w:rsid w:val="00267579"/>
    <w:rsid w:val="002700BA"/>
    <w:rsid w:val="00270E8B"/>
    <w:rsid w:val="0027130A"/>
    <w:rsid w:val="00271B23"/>
    <w:rsid w:val="00271E20"/>
    <w:rsid w:val="0027204B"/>
    <w:rsid w:val="002722DA"/>
    <w:rsid w:val="002722EC"/>
    <w:rsid w:val="00272675"/>
    <w:rsid w:val="0027287A"/>
    <w:rsid w:val="00272C2F"/>
    <w:rsid w:val="00273092"/>
    <w:rsid w:val="0027327E"/>
    <w:rsid w:val="002734A4"/>
    <w:rsid w:val="002735A7"/>
    <w:rsid w:val="00273608"/>
    <w:rsid w:val="00273A74"/>
    <w:rsid w:val="00274C09"/>
    <w:rsid w:val="002756D5"/>
    <w:rsid w:val="00275C0D"/>
    <w:rsid w:val="00275E9E"/>
    <w:rsid w:val="00275F5F"/>
    <w:rsid w:val="0027632B"/>
    <w:rsid w:val="00277231"/>
    <w:rsid w:val="00277638"/>
    <w:rsid w:val="002778B2"/>
    <w:rsid w:val="00277EAA"/>
    <w:rsid w:val="0028087D"/>
    <w:rsid w:val="00280C4D"/>
    <w:rsid w:val="002812B1"/>
    <w:rsid w:val="002813BD"/>
    <w:rsid w:val="00281B13"/>
    <w:rsid w:val="002820C9"/>
    <w:rsid w:val="002822D3"/>
    <w:rsid w:val="0028289B"/>
    <w:rsid w:val="00282971"/>
    <w:rsid w:val="00282D16"/>
    <w:rsid w:val="00282DD6"/>
    <w:rsid w:val="00283023"/>
    <w:rsid w:val="00283133"/>
    <w:rsid w:val="002832E1"/>
    <w:rsid w:val="00283C5B"/>
    <w:rsid w:val="0028457B"/>
    <w:rsid w:val="002848CB"/>
    <w:rsid w:val="00284AEB"/>
    <w:rsid w:val="00285170"/>
    <w:rsid w:val="00285CE2"/>
    <w:rsid w:val="0028627A"/>
    <w:rsid w:val="002864E8"/>
    <w:rsid w:val="00286634"/>
    <w:rsid w:val="00286C42"/>
    <w:rsid w:val="00287928"/>
    <w:rsid w:val="002915BE"/>
    <w:rsid w:val="00291A83"/>
    <w:rsid w:val="00291BC0"/>
    <w:rsid w:val="00291D7E"/>
    <w:rsid w:val="00292706"/>
    <w:rsid w:val="00292DB9"/>
    <w:rsid w:val="002940AA"/>
    <w:rsid w:val="002940B7"/>
    <w:rsid w:val="00294DC2"/>
    <w:rsid w:val="00295633"/>
    <w:rsid w:val="00295687"/>
    <w:rsid w:val="002956C9"/>
    <w:rsid w:val="00295F01"/>
    <w:rsid w:val="0029651A"/>
    <w:rsid w:val="00297F32"/>
    <w:rsid w:val="002A07C4"/>
    <w:rsid w:val="002A0D85"/>
    <w:rsid w:val="002A10B4"/>
    <w:rsid w:val="002A18E8"/>
    <w:rsid w:val="002A1DF5"/>
    <w:rsid w:val="002A1EED"/>
    <w:rsid w:val="002A1F72"/>
    <w:rsid w:val="002A2D78"/>
    <w:rsid w:val="002A2EA8"/>
    <w:rsid w:val="002A36A1"/>
    <w:rsid w:val="002A37AB"/>
    <w:rsid w:val="002A4BA6"/>
    <w:rsid w:val="002A4DEC"/>
    <w:rsid w:val="002A5097"/>
    <w:rsid w:val="002A5447"/>
    <w:rsid w:val="002A5E03"/>
    <w:rsid w:val="002A5F54"/>
    <w:rsid w:val="002A5F61"/>
    <w:rsid w:val="002A606D"/>
    <w:rsid w:val="002A6126"/>
    <w:rsid w:val="002A6BD1"/>
    <w:rsid w:val="002A6CE6"/>
    <w:rsid w:val="002A6E9D"/>
    <w:rsid w:val="002B0049"/>
    <w:rsid w:val="002B0B85"/>
    <w:rsid w:val="002B0C00"/>
    <w:rsid w:val="002B162D"/>
    <w:rsid w:val="002B2DF5"/>
    <w:rsid w:val="002B4A54"/>
    <w:rsid w:val="002B4D0D"/>
    <w:rsid w:val="002B664E"/>
    <w:rsid w:val="002B6C0E"/>
    <w:rsid w:val="002B770D"/>
    <w:rsid w:val="002C05EE"/>
    <w:rsid w:val="002C159C"/>
    <w:rsid w:val="002C1647"/>
    <w:rsid w:val="002C1AD7"/>
    <w:rsid w:val="002C1CF2"/>
    <w:rsid w:val="002C2170"/>
    <w:rsid w:val="002C24B2"/>
    <w:rsid w:val="002C351A"/>
    <w:rsid w:val="002C3E8B"/>
    <w:rsid w:val="002C4572"/>
    <w:rsid w:val="002C4EFD"/>
    <w:rsid w:val="002C525E"/>
    <w:rsid w:val="002C6804"/>
    <w:rsid w:val="002C6AAB"/>
    <w:rsid w:val="002C6E02"/>
    <w:rsid w:val="002C6EE8"/>
    <w:rsid w:val="002C6F23"/>
    <w:rsid w:val="002C7046"/>
    <w:rsid w:val="002C775E"/>
    <w:rsid w:val="002C7868"/>
    <w:rsid w:val="002C79A8"/>
    <w:rsid w:val="002C7B51"/>
    <w:rsid w:val="002C7EB8"/>
    <w:rsid w:val="002D0391"/>
    <w:rsid w:val="002D0632"/>
    <w:rsid w:val="002D101A"/>
    <w:rsid w:val="002D1385"/>
    <w:rsid w:val="002D1805"/>
    <w:rsid w:val="002D18E7"/>
    <w:rsid w:val="002D1983"/>
    <w:rsid w:val="002D2583"/>
    <w:rsid w:val="002D2882"/>
    <w:rsid w:val="002D2A78"/>
    <w:rsid w:val="002D3C11"/>
    <w:rsid w:val="002D4A17"/>
    <w:rsid w:val="002D5A4C"/>
    <w:rsid w:val="002D5AFB"/>
    <w:rsid w:val="002D5E31"/>
    <w:rsid w:val="002D5ECA"/>
    <w:rsid w:val="002D6C8C"/>
    <w:rsid w:val="002D72B5"/>
    <w:rsid w:val="002D7BAA"/>
    <w:rsid w:val="002D7EAD"/>
    <w:rsid w:val="002E0444"/>
    <w:rsid w:val="002E0C64"/>
    <w:rsid w:val="002E11AD"/>
    <w:rsid w:val="002E2463"/>
    <w:rsid w:val="002E278C"/>
    <w:rsid w:val="002E2D2D"/>
    <w:rsid w:val="002E3220"/>
    <w:rsid w:val="002E33E4"/>
    <w:rsid w:val="002E3784"/>
    <w:rsid w:val="002E3993"/>
    <w:rsid w:val="002E3E15"/>
    <w:rsid w:val="002E47FC"/>
    <w:rsid w:val="002E5123"/>
    <w:rsid w:val="002E5718"/>
    <w:rsid w:val="002E589E"/>
    <w:rsid w:val="002E5DEE"/>
    <w:rsid w:val="002E7428"/>
    <w:rsid w:val="002E7449"/>
    <w:rsid w:val="002E7582"/>
    <w:rsid w:val="002E7C74"/>
    <w:rsid w:val="002F00AA"/>
    <w:rsid w:val="002F0454"/>
    <w:rsid w:val="002F053D"/>
    <w:rsid w:val="002F10BE"/>
    <w:rsid w:val="002F13BC"/>
    <w:rsid w:val="002F1AF9"/>
    <w:rsid w:val="002F21DF"/>
    <w:rsid w:val="002F241E"/>
    <w:rsid w:val="002F2779"/>
    <w:rsid w:val="002F4138"/>
    <w:rsid w:val="002F43FC"/>
    <w:rsid w:val="002F4DCC"/>
    <w:rsid w:val="002F519B"/>
    <w:rsid w:val="002F5566"/>
    <w:rsid w:val="002F5992"/>
    <w:rsid w:val="002F5A43"/>
    <w:rsid w:val="002F5BF1"/>
    <w:rsid w:val="002F5CBB"/>
    <w:rsid w:val="002F5F3F"/>
    <w:rsid w:val="002F65BF"/>
    <w:rsid w:val="002F7395"/>
    <w:rsid w:val="002F78F5"/>
    <w:rsid w:val="00300653"/>
    <w:rsid w:val="00301624"/>
    <w:rsid w:val="00302412"/>
    <w:rsid w:val="003026DE"/>
    <w:rsid w:val="00302CB8"/>
    <w:rsid w:val="003032B0"/>
    <w:rsid w:val="00304C63"/>
    <w:rsid w:val="00305A32"/>
    <w:rsid w:val="00305D40"/>
    <w:rsid w:val="00306063"/>
    <w:rsid w:val="00306E09"/>
    <w:rsid w:val="0030749A"/>
    <w:rsid w:val="0030756B"/>
    <w:rsid w:val="003075C9"/>
    <w:rsid w:val="0030767D"/>
    <w:rsid w:val="003104FD"/>
    <w:rsid w:val="003105F9"/>
    <w:rsid w:val="0031188E"/>
    <w:rsid w:val="00311F7E"/>
    <w:rsid w:val="00312115"/>
    <w:rsid w:val="003122DE"/>
    <w:rsid w:val="003124F4"/>
    <w:rsid w:val="003138E9"/>
    <w:rsid w:val="003152CD"/>
    <w:rsid w:val="003158F5"/>
    <w:rsid w:val="00315A68"/>
    <w:rsid w:val="00315F3F"/>
    <w:rsid w:val="0031685A"/>
    <w:rsid w:val="003172DF"/>
    <w:rsid w:val="00317483"/>
    <w:rsid w:val="00317AFA"/>
    <w:rsid w:val="00317B3E"/>
    <w:rsid w:val="003202F0"/>
    <w:rsid w:val="00320B01"/>
    <w:rsid w:val="00320C18"/>
    <w:rsid w:val="00320EA2"/>
    <w:rsid w:val="003215E2"/>
    <w:rsid w:val="00322854"/>
    <w:rsid w:val="00322CB7"/>
    <w:rsid w:val="00322DFC"/>
    <w:rsid w:val="0032321D"/>
    <w:rsid w:val="00323252"/>
    <w:rsid w:val="00323267"/>
    <w:rsid w:val="0032369B"/>
    <w:rsid w:val="003237F6"/>
    <w:rsid w:val="00323E06"/>
    <w:rsid w:val="00323EE9"/>
    <w:rsid w:val="00324141"/>
    <w:rsid w:val="003243EA"/>
    <w:rsid w:val="003247E0"/>
    <w:rsid w:val="00325304"/>
    <w:rsid w:val="00325D7A"/>
    <w:rsid w:val="0032627B"/>
    <w:rsid w:val="00326836"/>
    <w:rsid w:val="00327940"/>
    <w:rsid w:val="00327DF4"/>
    <w:rsid w:val="00330A52"/>
    <w:rsid w:val="00330AEC"/>
    <w:rsid w:val="003317FE"/>
    <w:rsid w:val="00331D5B"/>
    <w:rsid w:val="00332477"/>
    <w:rsid w:val="00332547"/>
    <w:rsid w:val="00332B91"/>
    <w:rsid w:val="0033327B"/>
    <w:rsid w:val="003337F9"/>
    <w:rsid w:val="0033393A"/>
    <w:rsid w:val="00333F64"/>
    <w:rsid w:val="003342E0"/>
    <w:rsid w:val="00334605"/>
    <w:rsid w:val="00334AF5"/>
    <w:rsid w:val="00334BE0"/>
    <w:rsid w:val="003354FC"/>
    <w:rsid w:val="00335A38"/>
    <w:rsid w:val="00336068"/>
    <w:rsid w:val="003363F4"/>
    <w:rsid w:val="003369BD"/>
    <w:rsid w:val="00336B1A"/>
    <w:rsid w:val="003373DE"/>
    <w:rsid w:val="003376A7"/>
    <w:rsid w:val="003379EA"/>
    <w:rsid w:val="00337A97"/>
    <w:rsid w:val="00337BEC"/>
    <w:rsid w:val="00337DF9"/>
    <w:rsid w:val="00340042"/>
    <w:rsid w:val="00340275"/>
    <w:rsid w:val="0034065B"/>
    <w:rsid w:val="003406B4"/>
    <w:rsid w:val="00340A11"/>
    <w:rsid w:val="00340EC1"/>
    <w:rsid w:val="00341069"/>
    <w:rsid w:val="00341256"/>
    <w:rsid w:val="00341742"/>
    <w:rsid w:val="00341C43"/>
    <w:rsid w:val="00341FF3"/>
    <w:rsid w:val="00342438"/>
    <w:rsid w:val="00342A4D"/>
    <w:rsid w:val="00343312"/>
    <w:rsid w:val="003436B0"/>
    <w:rsid w:val="00343B2C"/>
    <w:rsid w:val="00343EFB"/>
    <w:rsid w:val="0034404A"/>
    <w:rsid w:val="0034420A"/>
    <w:rsid w:val="003448E7"/>
    <w:rsid w:val="003448F9"/>
    <w:rsid w:val="00345555"/>
    <w:rsid w:val="003456AB"/>
    <w:rsid w:val="00345B81"/>
    <w:rsid w:val="00345F63"/>
    <w:rsid w:val="003463DA"/>
    <w:rsid w:val="003468CB"/>
    <w:rsid w:val="00347516"/>
    <w:rsid w:val="00347615"/>
    <w:rsid w:val="003478B9"/>
    <w:rsid w:val="003478E4"/>
    <w:rsid w:val="00347E5B"/>
    <w:rsid w:val="00350415"/>
    <w:rsid w:val="00350451"/>
    <w:rsid w:val="0035093A"/>
    <w:rsid w:val="003510C4"/>
    <w:rsid w:val="00351D51"/>
    <w:rsid w:val="00351F4B"/>
    <w:rsid w:val="0035227A"/>
    <w:rsid w:val="00352901"/>
    <w:rsid w:val="00353F2A"/>
    <w:rsid w:val="0035421B"/>
    <w:rsid w:val="00354407"/>
    <w:rsid w:val="00354D87"/>
    <w:rsid w:val="0035560C"/>
    <w:rsid w:val="003558F7"/>
    <w:rsid w:val="00356135"/>
    <w:rsid w:val="00356B9C"/>
    <w:rsid w:val="00356C2F"/>
    <w:rsid w:val="00356C84"/>
    <w:rsid w:val="00356E32"/>
    <w:rsid w:val="00356EF9"/>
    <w:rsid w:val="00356FFD"/>
    <w:rsid w:val="003573E8"/>
    <w:rsid w:val="003600B1"/>
    <w:rsid w:val="00360674"/>
    <w:rsid w:val="003617DE"/>
    <w:rsid w:val="003629F7"/>
    <w:rsid w:val="00363685"/>
    <w:rsid w:val="00363B41"/>
    <w:rsid w:val="00364030"/>
    <w:rsid w:val="0036488D"/>
    <w:rsid w:val="00364C07"/>
    <w:rsid w:val="00365AA3"/>
    <w:rsid w:val="00365D0A"/>
    <w:rsid w:val="003669F9"/>
    <w:rsid w:val="00366EDD"/>
    <w:rsid w:val="00366EEA"/>
    <w:rsid w:val="0036799C"/>
    <w:rsid w:val="00367A0C"/>
    <w:rsid w:val="0037028F"/>
    <w:rsid w:val="003705AB"/>
    <w:rsid w:val="0037067D"/>
    <w:rsid w:val="00370FD4"/>
    <w:rsid w:val="003711A8"/>
    <w:rsid w:val="0037180F"/>
    <w:rsid w:val="00371DB8"/>
    <w:rsid w:val="00371F91"/>
    <w:rsid w:val="00372D41"/>
    <w:rsid w:val="00373868"/>
    <w:rsid w:val="00373E34"/>
    <w:rsid w:val="00374421"/>
    <w:rsid w:val="00374F44"/>
    <w:rsid w:val="00375770"/>
    <w:rsid w:val="00376040"/>
    <w:rsid w:val="00376C25"/>
    <w:rsid w:val="00377640"/>
    <w:rsid w:val="0037775D"/>
    <w:rsid w:val="00377835"/>
    <w:rsid w:val="00381013"/>
    <w:rsid w:val="00381284"/>
    <w:rsid w:val="00381463"/>
    <w:rsid w:val="00381A59"/>
    <w:rsid w:val="00382793"/>
    <w:rsid w:val="00382A55"/>
    <w:rsid w:val="00383153"/>
    <w:rsid w:val="00383CD8"/>
    <w:rsid w:val="0038412A"/>
    <w:rsid w:val="00384161"/>
    <w:rsid w:val="00384667"/>
    <w:rsid w:val="00384ABB"/>
    <w:rsid w:val="00384B0B"/>
    <w:rsid w:val="00385126"/>
    <w:rsid w:val="003854D6"/>
    <w:rsid w:val="00385F96"/>
    <w:rsid w:val="003865D0"/>
    <w:rsid w:val="00387A24"/>
    <w:rsid w:val="00387EEF"/>
    <w:rsid w:val="00390CFF"/>
    <w:rsid w:val="00391190"/>
    <w:rsid w:val="0039131E"/>
    <w:rsid w:val="003916E5"/>
    <w:rsid w:val="00391AD2"/>
    <w:rsid w:val="00391CED"/>
    <w:rsid w:val="00391E06"/>
    <w:rsid w:val="00391F2A"/>
    <w:rsid w:val="00391F40"/>
    <w:rsid w:val="00392202"/>
    <w:rsid w:val="00392EA3"/>
    <w:rsid w:val="0039320C"/>
    <w:rsid w:val="00395195"/>
    <w:rsid w:val="003956E6"/>
    <w:rsid w:val="00395E53"/>
    <w:rsid w:val="00397AE3"/>
    <w:rsid w:val="00397D8D"/>
    <w:rsid w:val="00397EAE"/>
    <w:rsid w:val="003A00B2"/>
    <w:rsid w:val="003A06E6"/>
    <w:rsid w:val="003A0B2A"/>
    <w:rsid w:val="003A1257"/>
    <w:rsid w:val="003A154B"/>
    <w:rsid w:val="003A1BD4"/>
    <w:rsid w:val="003A1C4A"/>
    <w:rsid w:val="003A2851"/>
    <w:rsid w:val="003A2C70"/>
    <w:rsid w:val="003A2D6A"/>
    <w:rsid w:val="003A2F46"/>
    <w:rsid w:val="003A33CB"/>
    <w:rsid w:val="003A3C8A"/>
    <w:rsid w:val="003A460A"/>
    <w:rsid w:val="003A5109"/>
    <w:rsid w:val="003A5196"/>
    <w:rsid w:val="003A51CF"/>
    <w:rsid w:val="003A681E"/>
    <w:rsid w:val="003A698F"/>
    <w:rsid w:val="003A71C5"/>
    <w:rsid w:val="003A7A96"/>
    <w:rsid w:val="003A7B92"/>
    <w:rsid w:val="003B03B1"/>
    <w:rsid w:val="003B1B56"/>
    <w:rsid w:val="003B262B"/>
    <w:rsid w:val="003B3908"/>
    <w:rsid w:val="003B4168"/>
    <w:rsid w:val="003B422D"/>
    <w:rsid w:val="003B4D24"/>
    <w:rsid w:val="003B5DA1"/>
    <w:rsid w:val="003B5E1A"/>
    <w:rsid w:val="003B5E4C"/>
    <w:rsid w:val="003B636D"/>
    <w:rsid w:val="003B6B0E"/>
    <w:rsid w:val="003B6D15"/>
    <w:rsid w:val="003B6E67"/>
    <w:rsid w:val="003B7316"/>
    <w:rsid w:val="003B74C8"/>
    <w:rsid w:val="003B78D6"/>
    <w:rsid w:val="003C00C6"/>
    <w:rsid w:val="003C0B2F"/>
    <w:rsid w:val="003C1409"/>
    <w:rsid w:val="003C1656"/>
    <w:rsid w:val="003C1949"/>
    <w:rsid w:val="003C1F31"/>
    <w:rsid w:val="003C1F9F"/>
    <w:rsid w:val="003C29D0"/>
    <w:rsid w:val="003C2B0D"/>
    <w:rsid w:val="003C39CE"/>
    <w:rsid w:val="003C4213"/>
    <w:rsid w:val="003C45F2"/>
    <w:rsid w:val="003C4667"/>
    <w:rsid w:val="003C4ABB"/>
    <w:rsid w:val="003C52D0"/>
    <w:rsid w:val="003C6140"/>
    <w:rsid w:val="003C6562"/>
    <w:rsid w:val="003C68DD"/>
    <w:rsid w:val="003C6BB6"/>
    <w:rsid w:val="003C6E2F"/>
    <w:rsid w:val="003C6E82"/>
    <w:rsid w:val="003C7009"/>
    <w:rsid w:val="003C74F3"/>
    <w:rsid w:val="003C75A5"/>
    <w:rsid w:val="003C792E"/>
    <w:rsid w:val="003C7C72"/>
    <w:rsid w:val="003D059D"/>
    <w:rsid w:val="003D0A4D"/>
    <w:rsid w:val="003D0B5C"/>
    <w:rsid w:val="003D10B4"/>
    <w:rsid w:val="003D1564"/>
    <w:rsid w:val="003D1A6B"/>
    <w:rsid w:val="003D22AD"/>
    <w:rsid w:val="003D27D7"/>
    <w:rsid w:val="003D3669"/>
    <w:rsid w:val="003D3EFE"/>
    <w:rsid w:val="003D4603"/>
    <w:rsid w:val="003D4B09"/>
    <w:rsid w:val="003D5284"/>
    <w:rsid w:val="003D5353"/>
    <w:rsid w:val="003D5A13"/>
    <w:rsid w:val="003D5CDA"/>
    <w:rsid w:val="003D617B"/>
    <w:rsid w:val="003D678C"/>
    <w:rsid w:val="003D6A81"/>
    <w:rsid w:val="003D72B6"/>
    <w:rsid w:val="003D7352"/>
    <w:rsid w:val="003E005D"/>
    <w:rsid w:val="003E01D8"/>
    <w:rsid w:val="003E19C3"/>
    <w:rsid w:val="003E1FE4"/>
    <w:rsid w:val="003E22B2"/>
    <w:rsid w:val="003E2438"/>
    <w:rsid w:val="003E325B"/>
    <w:rsid w:val="003E3333"/>
    <w:rsid w:val="003E382C"/>
    <w:rsid w:val="003E3C98"/>
    <w:rsid w:val="003E458F"/>
    <w:rsid w:val="003E4B6C"/>
    <w:rsid w:val="003E54A5"/>
    <w:rsid w:val="003E55FD"/>
    <w:rsid w:val="003E5B24"/>
    <w:rsid w:val="003E637D"/>
    <w:rsid w:val="003E6945"/>
    <w:rsid w:val="003E6E7F"/>
    <w:rsid w:val="003E736B"/>
    <w:rsid w:val="003E7668"/>
    <w:rsid w:val="003E7B67"/>
    <w:rsid w:val="003E7F92"/>
    <w:rsid w:val="003F0E4C"/>
    <w:rsid w:val="003F1181"/>
    <w:rsid w:val="003F14EF"/>
    <w:rsid w:val="003F159A"/>
    <w:rsid w:val="003F1AD3"/>
    <w:rsid w:val="003F1EF8"/>
    <w:rsid w:val="003F20FF"/>
    <w:rsid w:val="003F28F3"/>
    <w:rsid w:val="003F30C3"/>
    <w:rsid w:val="003F3905"/>
    <w:rsid w:val="003F409C"/>
    <w:rsid w:val="003F43F8"/>
    <w:rsid w:val="003F4896"/>
    <w:rsid w:val="003F4AAD"/>
    <w:rsid w:val="003F4D0E"/>
    <w:rsid w:val="003F51FB"/>
    <w:rsid w:val="003F5A7E"/>
    <w:rsid w:val="003F65F1"/>
    <w:rsid w:val="003F65F8"/>
    <w:rsid w:val="003F6617"/>
    <w:rsid w:val="003F6B76"/>
    <w:rsid w:val="003F7331"/>
    <w:rsid w:val="003F7B71"/>
    <w:rsid w:val="004002AF"/>
    <w:rsid w:val="004005AE"/>
    <w:rsid w:val="00400744"/>
    <w:rsid w:val="00400913"/>
    <w:rsid w:val="004009A3"/>
    <w:rsid w:val="0040125C"/>
    <w:rsid w:val="004017C5"/>
    <w:rsid w:val="00401E5F"/>
    <w:rsid w:val="00402707"/>
    <w:rsid w:val="00402A07"/>
    <w:rsid w:val="00402B35"/>
    <w:rsid w:val="00402F73"/>
    <w:rsid w:val="0040426C"/>
    <w:rsid w:val="00404CA4"/>
    <w:rsid w:val="00404CBA"/>
    <w:rsid w:val="00405D71"/>
    <w:rsid w:val="00406022"/>
    <w:rsid w:val="0040607A"/>
    <w:rsid w:val="004063D1"/>
    <w:rsid w:val="004064E4"/>
    <w:rsid w:val="00406553"/>
    <w:rsid w:val="004069F0"/>
    <w:rsid w:val="00406A4D"/>
    <w:rsid w:val="00407053"/>
    <w:rsid w:val="004078B3"/>
    <w:rsid w:val="00407C3F"/>
    <w:rsid w:val="00407DEA"/>
    <w:rsid w:val="00410321"/>
    <w:rsid w:val="00410583"/>
    <w:rsid w:val="004107FB"/>
    <w:rsid w:val="00410DA2"/>
    <w:rsid w:val="00410FAA"/>
    <w:rsid w:val="004128D4"/>
    <w:rsid w:val="0041426C"/>
    <w:rsid w:val="00414778"/>
    <w:rsid w:val="00414F8A"/>
    <w:rsid w:val="004155BB"/>
    <w:rsid w:val="004159AF"/>
    <w:rsid w:val="004160A0"/>
    <w:rsid w:val="00416A3D"/>
    <w:rsid w:val="00416B4D"/>
    <w:rsid w:val="0041741C"/>
    <w:rsid w:val="00417D17"/>
    <w:rsid w:val="00420036"/>
    <w:rsid w:val="004201A8"/>
    <w:rsid w:val="00420C7D"/>
    <w:rsid w:val="004214DC"/>
    <w:rsid w:val="00421550"/>
    <w:rsid w:val="00421BBB"/>
    <w:rsid w:val="00421F64"/>
    <w:rsid w:val="0042246F"/>
    <w:rsid w:val="00423536"/>
    <w:rsid w:val="00424072"/>
    <w:rsid w:val="0042497B"/>
    <w:rsid w:val="00424B45"/>
    <w:rsid w:val="00424CB9"/>
    <w:rsid w:val="0042529E"/>
    <w:rsid w:val="004252F4"/>
    <w:rsid w:val="0042561D"/>
    <w:rsid w:val="00425952"/>
    <w:rsid w:val="00425C84"/>
    <w:rsid w:val="00426191"/>
    <w:rsid w:val="004262BF"/>
    <w:rsid w:val="004274A0"/>
    <w:rsid w:val="0042762B"/>
    <w:rsid w:val="00427CCB"/>
    <w:rsid w:val="004309DA"/>
    <w:rsid w:val="004310F8"/>
    <w:rsid w:val="004312A1"/>
    <w:rsid w:val="0043189E"/>
    <w:rsid w:val="0043199E"/>
    <w:rsid w:val="00432BAB"/>
    <w:rsid w:val="00433AE7"/>
    <w:rsid w:val="00434505"/>
    <w:rsid w:val="00435553"/>
    <w:rsid w:val="00436186"/>
    <w:rsid w:val="00436392"/>
    <w:rsid w:val="00436E42"/>
    <w:rsid w:val="004374D4"/>
    <w:rsid w:val="0043767A"/>
    <w:rsid w:val="00437806"/>
    <w:rsid w:val="004401B9"/>
    <w:rsid w:val="004401E5"/>
    <w:rsid w:val="00440428"/>
    <w:rsid w:val="004407DC"/>
    <w:rsid w:val="00440A6A"/>
    <w:rsid w:val="00440EA4"/>
    <w:rsid w:val="00440F7C"/>
    <w:rsid w:val="00441049"/>
    <w:rsid w:val="0044115C"/>
    <w:rsid w:val="0044170B"/>
    <w:rsid w:val="0044219F"/>
    <w:rsid w:val="004431DD"/>
    <w:rsid w:val="004456C4"/>
    <w:rsid w:val="00445DAA"/>
    <w:rsid w:val="004460A6"/>
    <w:rsid w:val="004466D1"/>
    <w:rsid w:val="00446E3F"/>
    <w:rsid w:val="00447078"/>
    <w:rsid w:val="004479F1"/>
    <w:rsid w:val="00447C72"/>
    <w:rsid w:val="00450209"/>
    <w:rsid w:val="00450258"/>
    <w:rsid w:val="00450B74"/>
    <w:rsid w:val="00450EC9"/>
    <w:rsid w:val="00451578"/>
    <w:rsid w:val="004517DC"/>
    <w:rsid w:val="004520DD"/>
    <w:rsid w:val="00452621"/>
    <w:rsid w:val="004526AB"/>
    <w:rsid w:val="004528BC"/>
    <w:rsid w:val="00452B04"/>
    <w:rsid w:val="00452C22"/>
    <w:rsid w:val="00452C79"/>
    <w:rsid w:val="00453B63"/>
    <w:rsid w:val="004561EE"/>
    <w:rsid w:val="00456A81"/>
    <w:rsid w:val="00456D4F"/>
    <w:rsid w:val="00456F1E"/>
    <w:rsid w:val="00456F8E"/>
    <w:rsid w:val="00457566"/>
    <w:rsid w:val="00460281"/>
    <w:rsid w:val="00460328"/>
    <w:rsid w:val="00461351"/>
    <w:rsid w:val="004615E7"/>
    <w:rsid w:val="00461BF9"/>
    <w:rsid w:val="00461DA5"/>
    <w:rsid w:val="00462036"/>
    <w:rsid w:val="00462387"/>
    <w:rsid w:val="004624E1"/>
    <w:rsid w:val="00462B39"/>
    <w:rsid w:val="004633F7"/>
    <w:rsid w:val="00463467"/>
    <w:rsid w:val="0046402A"/>
    <w:rsid w:val="0046456E"/>
    <w:rsid w:val="004646A1"/>
    <w:rsid w:val="00464795"/>
    <w:rsid w:val="00464809"/>
    <w:rsid w:val="0046539E"/>
    <w:rsid w:val="00466259"/>
    <w:rsid w:val="00466721"/>
    <w:rsid w:val="004668BD"/>
    <w:rsid w:val="00467909"/>
    <w:rsid w:val="0047027E"/>
    <w:rsid w:val="004712B9"/>
    <w:rsid w:val="00471B72"/>
    <w:rsid w:val="00471F9E"/>
    <w:rsid w:val="0047256C"/>
    <w:rsid w:val="00472725"/>
    <w:rsid w:val="00473605"/>
    <w:rsid w:val="00473F38"/>
    <w:rsid w:val="00474073"/>
    <w:rsid w:val="004746EF"/>
    <w:rsid w:val="0047471D"/>
    <w:rsid w:val="00474882"/>
    <w:rsid w:val="00474CF3"/>
    <w:rsid w:val="00474DFC"/>
    <w:rsid w:val="00475309"/>
    <w:rsid w:val="00475AE6"/>
    <w:rsid w:val="00475D73"/>
    <w:rsid w:val="00476107"/>
    <w:rsid w:val="00476E7D"/>
    <w:rsid w:val="0047746A"/>
    <w:rsid w:val="00480851"/>
    <w:rsid w:val="00481183"/>
    <w:rsid w:val="004819F7"/>
    <w:rsid w:val="004826D8"/>
    <w:rsid w:val="00482990"/>
    <w:rsid w:val="00482A0D"/>
    <w:rsid w:val="00483118"/>
    <w:rsid w:val="004837C9"/>
    <w:rsid w:val="00483B73"/>
    <w:rsid w:val="00484475"/>
    <w:rsid w:val="00484846"/>
    <w:rsid w:val="00484FD0"/>
    <w:rsid w:val="0048614C"/>
    <w:rsid w:val="004862A4"/>
    <w:rsid w:val="00486C02"/>
    <w:rsid w:val="004870C2"/>
    <w:rsid w:val="00487101"/>
    <w:rsid w:val="004875BE"/>
    <w:rsid w:val="0048761E"/>
    <w:rsid w:val="00487FAD"/>
    <w:rsid w:val="004902BB"/>
    <w:rsid w:val="00490A29"/>
    <w:rsid w:val="00490A81"/>
    <w:rsid w:val="00490C49"/>
    <w:rsid w:val="00490E77"/>
    <w:rsid w:val="00490F9D"/>
    <w:rsid w:val="00491157"/>
    <w:rsid w:val="00491348"/>
    <w:rsid w:val="00491389"/>
    <w:rsid w:val="004913C7"/>
    <w:rsid w:val="004926B4"/>
    <w:rsid w:val="00492AFE"/>
    <w:rsid w:val="00492BB9"/>
    <w:rsid w:val="00492BCA"/>
    <w:rsid w:val="00492EFB"/>
    <w:rsid w:val="00492F4E"/>
    <w:rsid w:val="00493137"/>
    <w:rsid w:val="00493668"/>
    <w:rsid w:val="004936BB"/>
    <w:rsid w:val="0049424F"/>
    <w:rsid w:val="00495C5E"/>
    <w:rsid w:val="00496868"/>
    <w:rsid w:val="00496C54"/>
    <w:rsid w:val="00496EEB"/>
    <w:rsid w:val="00497063"/>
    <w:rsid w:val="0049776E"/>
    <w:rsid w:val="00497B7F"/>
    <w:rsid w:val="004A01F0"/>
    <w:rsid w:val="004A0897"/>
    <w:rsid w:val="004A1200"/>
    <w:rsid w:val="004A13E8"/>
    <w:rsid w:val="004A15DF"/>
    <w:rsid w:val="004A1760"/>
    <w:rsid w:val="004A1E36"/>
    <w:rsid w:val="004A20CE"/>
    <w:rsid w:val="004A2AB2"/>
    <w:rsid w:val="004A2CD0"/>
    <w:rsid w:val="004A2DA2"/>
    <w:rsid w:val="004A2DB4"/>
    <w:rsid w:val="004A3256"/>
    <w:rsid w:val="004A3BFC"/>
    <w:rsid w:val="004A4001"/>
    <w:rsid w:val="004A42D3"/>
    <w:rsid w:val="004A58A8"/>
    <w:rsid w:val="004A622D"/>
    <w:rsid w:val="004A62DC"/>
    <w:rsid w:val="004A64E0"/>
    <w:rsid w:val="004A68C3"/>
    <w:rsid w:val="004A6B31"/>
    <w:rsid w:val="004A6B85"/>
    <w:rsid w:val="004A7607"/>
    <w:rsid w:val="004A78D8"/>
    <w:rsid w:val="004A79E3"/>
    <w:rsid w:val="004A7B66"/>
    <w:rsid w:val="004A7C23"/>
    <w:rsid w:val="004B0B75"/>
    <w:rsid w:val="004B1382"/>
    <w:rsid w:val="004B2CBF"/>
    <w:rsid w:val="004B34C7"/>
    <w:rsid w:val="004B40CD"/>
    <w:rsid w:val="004B416F"/>
    <w:rsid w:val="004B48BE"/>
    <w:rsid w:val="004B49F3"/>
    <w:rsid w:val="004B4A17"/>
    <w:rsid w:val="004B5CAD"/>
    <w:rsid w:val="004B69E8"/>
    <w:rsid w:val="004B6ACB"/>
    <w:rsid w:val="004B6AEC"/>
    <w:rsid w:val="004B70D9"/>
    <w:rsid w:val="004B743E"/>
    <w:rsid w:val="004B77D3"/>
    <w:rsid w:val="004B77F7"/>
    <w:rsid w:val="004B781A"/>
    <w:rsid w:val="004C07FC"/>
    <w:rsid w:val="004C0B9A"/>
    <w:rsid w:val="004C0D38"/>
    <w:rsid w:val="004C12F9"/>
    <w:rsid w:val="004C16F4"/>
    <w:rsid w:val="004C1920"/>
    <w:rsid w:val="004C29B8"/>
    <w:rsid w:val="004C2CBF"/>
    <w:rsid w:val="004C4863"/>
    <w:rsid w:val="004C487A"/>
    <w:rsid w:val="004C4B70"/>
    <w:rsid w:val="004C56C4"/>
    <w:rsid w:val="004C60C9"/>
    <w:rsid w:val="004C6C87"/>
    <w:rsid w:val="004C726D"/>
    <w:rsid w:val="004C7FAF"/>
    <w:rsid w:val="004D00FE"/>
    <w:rsid w:val="004D03E5"/>
    <w:rsid w:val="004D266D"/>
    <w:rsid w:val="004D2B01"/>
    <w:rsid w:val="004D32C2"/>
    <w:rsid w:val="004D3B7A"/>
    <w:rsid w:val="004D3DD3"/>
    <w:rsid w:val="004D57EA"/>
    <w:rsid w:val="004D5921"/>
    <w:rsid w:val="004D6F49"/>
    <w:rsid w:val="004D7FE0"/>
    <w:rsid w:val="004E040D"/>
    <w:rsid w:val="004E086A"/>
    <w:rsid w:val="004E11A8"/>
    <w:rsid w:val="004E152C"/>
    <w:rsid w:val="004E185B"/>
    <w:rsid w:val="004E1EE3"/>
    <w:rsid w:val="004E2314"/>
    <w:rsid w:val="004E2410"/>
    <w:rsid w:val="004E2944"/>
    <w:rsid w:val="004E3652"/>
    <w:rsid w:val="004E3BA7"/>
    <w:rsid w:val="004E4222"/>
    <w:rsid w:val="004E4840"/>
    <w:rsid w:val="004E5585"/>
    <w:rsid w:val="004E69C7"/>
    <w:rsid w:val="004E69FF"/>
    <w:rsid w:val="004E754F"/>
    <w:rsid w:val="004E7C60"/>
    <w:rsid w:val="004F0CDB"/>
    <w:rsid w:val="004F0F90"/>
    <w:rsid w:val="004F134D"/>
    <w:rsid w:val="004F203D"/>
    <w:rsid w:val="004F25BD"/>
    <w:rsid w:val="004F25E1"/>
    <w:rsid w:val="004F2613"/>
    <w:rsid w:val="004F2DCC"/>
    <w:rsid w:val="004F3347"/>
    <w:rsid w:val="004F36E9"/>
    <w:rsid w:val="004F40FD"/>
    <w:rsid w:val="004F456F"/>
    <w:rsid w:val="004F477D"/>
    <w:rsid w:val="004F4D96"/>
    <w:rsid w:val="004F4E8B"/>
    <w:rsid w:val="004F5009"/>
    <w:rsid w:val="004F507F"/>
    <w:rsid w:val="004F55F7"/>
    <w:rsid w:val="004F579C"/>
    <w:rsid w:val="004F711B"/>
    <w:rsid w:val="004F728C"/>
    <w:rsid w:val="004F761F"/>
    <w:rsid w:val="004F7889"/>
    <w:rsid w:val="004F7CE8"/>
    <w:rsid w:val="005003CF"/>
    <w:rsid w:val="00500F0D"/>
    <w:rsid w:val="00501127"/>
    <w:rsid w:val="005011C2"/>
    <w:rsid w:val="0050195C"/>
    <w:rsid w:val="00501D5F"/>
    <w:rsid w:val="00501EF7"/>
    <w:rsid w:val="00502E67"/>
    <w:rsid w:val="00503718"/>
    <w:rsid w:val="00503C42"/>
    <w:rsid w:val="00504D33"/>
    <w:rsid w:val="00505449"/>
    <w:rsid w:val="00505A1B"/>
    <w:rsid w:val="00506D73"/>
    <w:rsid w:val="00506EB6"/>
    <w:rsid w:val="0050719A"/>
    <w:rsid w:val="005073CF"/>
    <w:rsid w:val="00511D91"/>
    <w:rsid w:val="00511DF9"/>
    <w:rsid w:val="00512EAA"/>
    <w:rsid w:val="00513028"/>
    <w:rsid w:val="0051354C"/>
    <w:rsid w:val="00513B2B"/>
    <w:rsid w:val="00514D6A"/>
    <w:rsid w:val="00514E20"/>
    <w:rsid w:val="00514EAF"/>
    <w:rsid w:val="00515FDA"/>
    <w:rsid w:val="005160A0"/>
    <w:rsid w:val="005169BA"/>
    <w:rsid w:val="0051707A"/>
    <w:rsid w:val="00517186"/>
    <w:rsid w:val="0051720F"/>
    <w:rsid w:val="00517AAF"/>
    <w:rsid w:val="00517E90"/>
    <w:rsid w:val="005205E2"/>
    <w:rsid w:val="00521B18"/>
    <w:rsid w:val="0052228F"/>
    <w:rsid w:val="00522593"/>
    <w:rsid w:val="005231A7"/>
    <w:rsid w:val="0052334F"/>
    <w:rsid w:val="00523E0A"/>
    <w:rsid w:val="005243B4"/>
    <w:rsid w:val="0052529B"/>
    <w:rsid w:val="005252BC"/>
    <w:rsid w:val="005263CF"/>
    <w:rsid w:val="00526627"/>
    <w:rsid w:val="00526DA3"/>
    <w:rsid w:val="005272CA"/>
    <w:rsid w:val="0052765D"/>
    <w:rsid w:val="005276C5"/>
    <w:rsid w:val="00527BD7"/>
    <w:rsid w:val="00527E3E"/>
    <w:rsid w:val="00530AA5"/>
    <w:rsid w:val="00530B85"/>
    <w:rsid w:val="00530D2D"/>
    <w:rsid w:val="005311B1"/>
    <w:rsid w:val="0053147C"/>
    <w:rsid w:val="00531767"/>
    <w:rsid w:val="00531B49"/>
    <w:rsid w:val="005324EF"/>
    <w:rsid w:val="0053264E"/>
    <w:rsid w:val="00532955"/>
    <w:rsid w:val="005329E2"/>
    <w:rsid w:val="00532CEB"/>
    <w:rsid w:val="00532D1E"/>
    <w:rsid w:val="00533468"/>
    <w:rsid w:val="005338E6"/>
    <w:rsid w:val="005338F2"/>
    <w:rsid w:val="00533F04"/>
    <w:rsid w:val="005358DB"/>
    <w:rsid w:val="00535FEE"/>
    <w:rsid w:val="00536953"/>
    <w:rsid w:val="00536E3E"/>
    <w:rsid w:val="005373F7"/>
    <w:rsid w:val="00537D16"/>
    <w:rsid w:val="00540184"/>
    <w:rsid w:val="005409AE"/>
    <w:rsid w:val="00541110"/>
    <w:rsid w:val="00541D45"/>
    <w:rsid w:val="00541F37"/>
    <w:rsid w:val="005420CE"/>
    <w:rsid w:val="00542566"/>
    <w:rsid w:val="005425DD"/>
    <w:rsid w:val="005428D7"/>
    <w:rsid w:val="00542A17"/>
    <w:rsid w:val="005432AA"/>
    <w:rsid w:val="005433E0"/>
    <w:rsid w:val="00543C05"/>
    <w:rsid w:val="00545553"/>
    <w:rsid w:val="00545631"/>
    <w:rsid w:val="00545AC4"/>
    <w:rsid w:val="00545CD6"/>
    <w:rsid w:val="005466A0"/>
    <w:rsid w:val="00546CEB"/>
    <w:rsid w:val="00546EAC"/>
    <w:rsid w:val="00547157"/>
    <w:rsid w:val="005507DC"/>
    <w:rsid w:val="00550D69"/>
    <w:rsid w:val="00551988"/>
    <w:rsid w:val="0055209F"/>
    <w:rsid w:val="005521CF"/>
    <w:rsid w:val="00552588"/>
    <w:rsid w:val="00552789"/>
    <w:rsid w:val="00552F83"/>
    <w:rsid w:val="00552FD3"/>
    <w:rsid w:val="005530A7"/>
    <w:rsid w:val="0055358F"/>
    <w:rsid w:val="00553D7D"/>
    <w:rsid w:val="00554C5C"/>
    <w:rsid w:val="005553A1"/>
    <w:rsid w:val="0055568C"/>
    <w:rsid w:val="00555CBC"/>
    <w:rsid w:val="0055625D"/>
    <w:rsid w:val="00556302"/>
    <w:rsid w:val="00556422"/>
    <w:rsid w:val="00556D63"/>
    <w:rsid w:val="00557E44"/>
    <w:rsid w:val="00560372"/>
    <w:rsid w:val="0056065C"/>
    <w:rsid w:val="005613A4"/>
    <w:rsid w:val="00562D52"/>
    <w:rsid w:val="005631CF"/>
    <w:rsid w:val="00563604"/>
    <w:rsid w:val="00563663"/>
    <w:rsid w:val="0056389B"/>
    <w:rsid w:val="00563C3D"/>
    <w:rsid w:val="00563C92"/>
    <w:rsid w:val="0056410C"/>
    <w:rsid w:val="0056488E"/>
    <w:rsid w:val="00564965"/>
    <w:rsid w:val="00564F55"/>
    <w:rsid w:val="00565909"/>
    <w:rsid w:val="005668FF"/>
    <w:rsid w:val="00567184"/>
    <w:rsid w:val="005672BE"/>
    <w:rsid w:val="00567555"/>
    <w:rsid w:val="00567643"/>
    <w:rsid w:val="0056789E"/>
    <w:rsid w:val="00567F52"/>
    <w:rsid w:val="005701F8"/>
    <w:rsid w:val="005702FA"/>
    <w:rsid w:val="00570A71"/>
    <w:rsid w:val="0057102B"/>
    <w:rsid w:val="00571D26"/>
    <w:rsid w:val="00573662"/>
    <w:rsid w:val="00573685"/>
    <w:rsid w:val="005738A8"/>
    <w:rsid w:val="005738AE"/>
    <w:rsid w:val="00573958"/>
    <w:rsid w:val="00573D5B"/>
    <w:rsid w:val="005740CC"/>
    <w:rsid w:val="00574462"/>
    <w:rsid w:val="00574B65"/>
    <w:rsid w:val="00575303"/>
    <w:rsid w:val="005757AA"/>
    <w:rsid w:val="00576121"/>
    <w:rsid w:val="005768BD"/>
    <w:rsid w:val="0057693E"/>
    <w:rsid w:val="00577F98"/>
    <w:rsid w:val="0058002A"/>
    <w:rsid w:val="00580B9C"/>
    <w:rsid w:val="00580DB5"/>
    <w:rsid w:val="00580EED"/>
    <w:rsid w:val="00580FF4"/>
    <w:rsid w:val="005812F1"/>
    <w:rsid w:val="00581762"/>
    <w:rsid w:val="00581A20"/>
    <w:rsid w:val="005825E2"/>
    <w:rsid w:val="0058290E"/>
    <w:rsid w:val="00583407"/>
    <w:rsid w:val="005836C4"/>
    <w:rsid w:val="00583BF7"/>
    <w:rsid w:val="00583F68"/>
    <w:rsid w:val="00584A0E"/>
    <w:rsid w:val="0058702E"/>
    <w:rsid w:val="00587489"/>
    <w:rsid w:val="00587E3D"/>
    <w:rsid w:val="00590273"/>
    <w:rsid w:val="0059086A"/>
    <w:rsid w:val="0059125F"/>
    <w:rsid w:val="0059207A"/>
    <w:rsid w:val="00592D87"/>
    <w:rsid w:val="0059367E"/>
    <w:rsid w:val="00593B92"/>
    <w:rsid w:val="00594322"/>
    <w:rsid w:val="005956D8"/>
    <w:rsid w:val="00596EDB"/>
    <w:rsid w:val="00597078"/>
    <w:rsid w:val="00597AE8"/>
    <w:rsid w:val="00597FD0"/>
    <w:rsid w:val="005A064F"/>
    <w:rsid w:val="005A0652"/>
    <w:rsid w:val="005A0D49"/>
    <w:rsid w:val="005A0E05"/>
    <w:rsid w:val="005A1390"/>
    <w:rsid w:val="005A18C5"/>
    <w:rsid w:val="005A2AF9"/>
    <w:rsid w:val="005A3044"/>
    <w:rsid w:val="005A362C"/>
    <w:rsid w:val="005A38AE"/>
    <w:rsid w:val="005A3DA9"/>
    <w:rsid w:val="005A5415"/>
    <w:rsid w:val="005A5C80"/>
    <w:rsid w:val="005A6AC4"/>
    <w:rsid w:val="005A6E36"/>
    <w:rsid w:val="005A738C"/>
    <w:rsid w:val="005A7777"/>
    <w:rsid w:val="005B053B"/>
    <w:rsid w:val="005B1044"/>
    <w:rsid w:val="005B1558"/>
    <w:rsid w:val="005B1FED"/>
    <w:rsid w:val="005B28F8"/>
    <w:rsid w:val="005B334F"/>
    <w:rsid w:val="005B354C"/>
    <w:rsid w:val="005B3A6B"/>
    <w:rsid w:val="005B3AAE"/>
    <w:rsid w:val="005B3C02"/>
    <w:rsid w:val="005B3D12"/>
    <w:rsid w:val="005B46ED"/>
    <w:rsid w:val="005B46F2"/>
    <w:rsid w:val="005B4C3B"/>
    <w:rsid w:val="005B5614"/>
    <w:rsid w:val="005B58A1"/>
    <w:rsid w:val="005B632E"/>
    <w:rsid w:val="005B6E0B"/>
    <w:rsid w:val="005C0052"/>
    <w:rsid w:val="005C0742"/>
    <w:rsid w:val="005C1B49"/>
    <w:rsid w:val="005C306F"/>
    <w:rsid w:val="005C3547"/>
    <w:rsid w:val="005C37FF"/>
    <w:rsid w:val="005C3828"/>
    <w:rsid w:val="005C4AE1"/>
    <w:rsid w:val="005C50C6"/>
    <w:rsid w:val="005C51C2"/>
    <w:rsid w:val="005C54BE"/>
    <w:rsid w:val="005C557A"/>
    <w:rsid w:val="005C573F"/>
    <w:rsid w:val="005C5B84"/>
    <w:rsid w:val="005C6125"/>
    <w:rsid w:val="005C673B"/>
    <w:rsid w:val="005C6873"/>
    <w:rsid w:val="005C724C"/>
    <w:rsid w:val="005C7483"/>
    <w:rsid w:val="005C76E1"/>
    <w:rsid w:val="005C7818"/>
    <w:rsid w:val="005C7D14"/>
    <w:rsid w:val="005D02DA"/>
    <w:rsid w:val="005D06F8"/>
    <w:rsid w:val="005D13E9"/>
    <w:rsid w:val="005D2388"/>
    <w:rsid w:val="005D291B"/>
    <w:rsid w:val="005D3051"/>
    <w:rsid w:val="005D3F55"/>
    <w:rsid w:val="005D3F96"/>
    <w:rsid w:val="005D4AB6"/>
    <w:rsid w:val="005D4AD4"/>
    <w:rsid w:val="005D4B64"/>
    <w:rsid w:val="005D4C24"/>
    <w:rsid w:val="005D5059"/>
    <w:rsid w:val="005D5E20"/>
    <w:rsid w:val="005D63E7"/>
    <w:rsid w:val="005D6783"/>
    <w:rsid w:val="005D6A70"/>
    <w:rsid w:val="005D74B4"/>
    <w:rsid w:val="005D750F"/>
    <w:rsid w:val="005E0157"/>
    <w:rsid w:val="005E026C"/>
    <w:rsid w:val="005E0395"/>
    <w:rsid w:val="005E0FE0"/>
    <w:rsid w:val="005E1230"/>
    <w:rsid w:val="005E16A6"/>
    <w:rsid w:val="005E20BB"/>
    <w:rsid w:val="005E22BE"/>
    <w:rsid w:val="005E33A2"/>
    <w:rsid w:val="005E3AB5"/>
    <w:rsid w:val="005E3CAD"/>
    <w:rsid w:val="005E44C5"/>
    <w:rsid w:val="005E4E9A"/>
    <w:rsid w:val="005E5122"/>
    <w:rsid w:val="005E5CF6"/>
    <w:rsid w:val="005E60B9"/>
    <w:rsid w:val="005E65C4"/>
    <w:rsid w:val="005E6797"/>
    <w:rsid w:val="005E6B59"/>
    <w:rsid w:val="005E7157"/>
    <w:rsid w:val="005E72EF"/>
    <w:rsid w:val="005E7AD8"/>
    <w:rsid w:val="005E7B1C"/>
    <w:rsid w:val="005F007E"/>
    <w:rsid w:val="005F07E1"/>
    <w:rsid w:val="005F0CE9"/>
    <w:rsid w:val="005F0E44"/>
    <w:rsid w:val="005F16B2"/>
    <w:rsid w:val="005F1B5E"/>
    <w:rsid w:val="005F256B"/>
    <w:rsid w:val="005F259D"/>
    <w:rsid w:val="005F2668"/>
    <w:rsid w:val="005F2758"/>
    <w:rsid w:val="005F3397"/>
    <w:rsid w:val="005F3A86"/>
    <w:rsid w:val="005F3AC6"/>
    <w:rsid w:val="005F5481"/>
    <w:rsid w:val="005F5DE2"/>
    <w:rsid w:val="005F63E1"/>
    <w:rsid w:val="005F686E"/>
    <w:rsid w:val="005F6D04"/>
    <w:rsid w:val="005F753C"/>
    <w:rsid w:val="005F7AE7"/>
    <w:rsid w:val="005F7D99"/>
    <w:rsid w:val="005F7FCE"/>
    <w:rsid w:val="00600116"/>
    <w:rsid w:val="006005FE"/>
    <w:rsid w:val="006008FA"/>
    <w:rsid w:val="00600F2E"/>
    <w:rsid w:val="0060175D"/>
    <w:rsid w:val="006017ED"/>
    <w:rsid w:val="00602A37"/>
    <w:rsid w:val="00602ED4"/>
    <w:rsid w:val="00603266"/>
    <w:rsid w:val="006040BF"/>
    <w:rsid w:val="00604D49"/>
    <w:rsid w:val="00604E5A"/>
    <w:rsid w:val="00604F1A"/>
    <w:rsid w:val="00604F7C"/>
    <w:rsid w:val="0060521F"/>
    <w:rsid w:val="006056FC"/>
    <w:rsid w:val="00605E8C"/>
    <w:rsid w:val="006061F8"/>
    <w:rsid w:val="00606323"/>
    <w:rsid w:val="006066C0"/>
    <w:rsid w:val="0060721E"/>
    <w:rsid w:val="0060731B"/>
    <w:rsid w:val="006079B9"/>
    <w:rsid w:val="00607DD6"/>
    <w:rsid w:val="00610511"/>
    <w:rsid w:val="006109AA"/>
    <w:rsid w:val="00610B44"/>
    <w:rsid w:val="00610C4C"/>
    <w:rsid w:val="006113A8"/>
    <w:rsid w:val="00611B6C"/>
    <w:rsid w:val="00611BBD"/>
    <w:rsid w:val="00612CC4"/>
    <w:rsid w:val="006136F2"/>
    <w:rsid w:val="00613886"/>
    <w:rsid w:val="006147C6"/>
    <w:rsid w:val="00614886"/>
    <w:rsid w:val="00614B27"/>
    <w:rsid w:val="00614B35"/>
    <w:rsid w:val="00614E97"/>
    <w:rsid w:val="006150F2"/>
    <w:rsid w:val="006151B0"/>
    <w:rsid w:val="0061523D"/>
    <w:rsid w:val="0061545C"/>
    <w:rsid w:val="00615C2A"/>
    <w:rsid w:val="00615C84"/>
    <w:rsid w:val="00615DBB"/>
    <w:rsid w:val="006160C9"/>
    <w:rsid w:val="00617D8A"/>
    <w:rsid w:val="00617F1D"/>
    <w:rsid w:val="00617F6D"/>
    <w:rsid w:val="00620C75"/>
    <w:rsid w:val="00620FE8"/>
    <w:rsid w:val="00621363"/>
    <w:rsid w:val="0062153A"/>
    <w:rsid w:val="006220F6"/>
    <w:rsid w:val="00622117"/>
    <w:rsid w:val="00622555"/>
    <w:rsid w:val="00622925"/>
    <w:rsid w:val="00622BD9"/>
    <w:rsid w:val="00623456"/>
    <w:rsid w:val="006239EA"/>
    <w:rsid w:val="00623C3B"/>
    <w:rsid w:val="00624461"/>
    <w:rsid w:val="00624529"/>
    <w:rsid w:val="0062466C"/>
    <w:rsid w:val="00625181"/>
    <w:rsid w:val="006255F6"/>
    <w:rsid w:val="00626033"/>
    <w:rsid w:val="00626288"/>
    <w:rsid w:val="00626C01"/>
    <w:rsid w:val="00627A6C"/>
    <w:rsid w:val="00627D87"/>
    <w:rsid w:val="0063091F"/>
    <w:rsid w:val="00630CA2"/>
    <w:rsid w:val="006311F9"/>
    <w:rsid w:val="00631925"/>
    <w:rsid w:val="00631A18"/>
    <w:rsid w:val="00631E7A"/>
    <w:rsid w:val="00631EE8"/>
    <w:rsid w:val="0063342F"/>
    <w:rsid w:val="00634489"/>
    <w:rsid w:val="0063479D"/>
    <w:rsid w:val="0063580E"/>
    <w:rsid w:val="00635BA1"/>
    <w:rsid w:val="006367FA"/>
    <w:rsid w:val="00636A38"/>
    <w:rsid w:val="0063702C"/>
    <w:rsid w:val="00637EA2"/>
    <w:rsid w:val="00640037"/>
    <w:rsid w:val="006405D9"/>
    <w:rsid w:val="006409F0"/>
    <w:rsid w:val="00641414"/>
    <w:rsid w:val="00641E5B"/>
    <w:rsid w:val="00641F8D"/>
    <w:rsid w:val="006421B1"/>
    <w:rsid w:val="00642951"/>
    <w:rsid w:val="00642C69"/>
    <w:rsid w:val="006432A8"/>
    <w:rsid w:val="00643C4B"/>
    <w:rsid w:val="00643DB9"/>
    <w:rsid w:val="00643E33"/>
    <w:rsid w:val="00644292"/>
    <w:rsid w:val="00644524"/>
    <w:rsid w:val="006448F0"/>
    <w:rsid w:val="00644BC1"/>
    <w:rsid w:val="00644CBD"/>
    <w:rsid w:val="0064502D"/>
    <w:rsid w:val="006459CA"/>
    <w:rsid w:val="00646160"/>
    <w:rsid w:val="006465E4"/>
    <w:rsid w:val="0064661D"/>
    <w:rsid w:val="00646E35"/>
    <w:rsid w:val="00646E5A"/>
    <w:rsid w:val="006474E5"/>
    <w:rsid w:val="00650314"/>
    <w:rsid w:val="0065099D"/>
    <w:rsid w:val="00650B43"/>
    <w:rsid w:val="00650DA8"/>
    <w:rsid w:val="006511E5"/>
    <w:rsid w:val="006517ED"/>
    <w:rsid w:val="006521A0"/>
    <w:rsid w:val="00652528"/>
    <w:rsid w:val="006529F1"/>
    <w:rsid w:val="00652F23"/>
    <w:rsid w:val="0065386F"/>
    <w:rsid w:val="00653938"/>
    <w:rsid w:val="00653A80"/>
    <w:rsid w:val="0065402F"/>
    <w:rsid w:val="00654C27"/>
    <w:rsid w:val="00654E22"/>
    <w:rsid w:val="00654EF1"/>
    <w:rsid w:val="00655C0C"/>
    <w:rsid w:val="00655C24"/>
    <w:rsid w:val="00655EF1"/>
    <w:rsid w:val="006566F4"/>
    <w:rsid w:val="00656777"/>
    <w:rsid w:val="0065736C"/>
    <w:rsid w:val="00657661"/>
    <w:rsid w:val="006578E7"/>
    <w:rsid w:val="0066004B"/>
    <w:rsid w:val="00660558"/>
    <w:rsid w:val="0066059F"/>
    <w:rsid w:val="006607C5"/>
    <w:rsid w:val="00660D75"/>
    <w:rsid w:val="00661374"/>
    <w:rsid w:val="00661537"/>
    <w:rsid w:val="00661677"/>
    <w:rsid w:val="006618F3"/>
    <w:rsid w:val="00661BD5"/>
    <w:rsid w:val="006620F8"/>
    <w:rsid w:val="006624AF"/>
    <w:rsid w:val="00662955"/>
    <w:rsid w:val="00663A76"/>
    <w:rsid w:val="006646A8"/>
    <w:rsid w:val="00664C84"/>
    <w:rsid w:val="00664CA7"/>
    <w:rsid w:val="00665060"/>
    <w:rsid w:val="0066507D"/>
    <w:rsid w:val="00665138"/>
    <w:rsid w:val="00665228"/>
    <w:rsid w:val="00665380"/>
    <w:rsid w:val="0066539E"/>
    <w:rsid w:val="00665DE0"/>
    <w:rsid w:val="00665F6C"/>
    <w:rsid w:val="0066616A"/>
    <w:rsid w:val="00666728"/>
    <w:rsid w:val="00667115"/>
    <w:rsid w:val="00667BAA"/>
    <w:rsid w:val="00667C4B"/>
    <w:rsid w:val="00667FFE"/>
    <w:rsid w:val="00670761"/>
    <w:rsid w:val="006709C0"/>
    <w:rsid w:val="006713A5"/>
    <w:rsid w:val="0067146D"/>
    <w:rsid w:val="0067178E"/>
    <w:rsid w:val="0067240A"/>
    <w:rsid w:val="006724EB"/>
    <w:rsid w:val="0067301A"/>
    <w:rsid w:val="00673039"/>
    <w:rsid w:val="0067318A"/>
    <w:rsid w:val="006734CD"/>
    <w:rsid w:val="006739EE"/>
    <w:rsid w:val="00673ABF"/>
    <w:rsid w:val="00673DA2"/>
    <w:rsid w:val="00674A47"/>
    <w:rsid w:val="00674A57"/>
    <w:rsid w:val="00674D02"/>
    <w:rsid w:val="00675B02"/>
    <w:rsid w:val="00675E27"/>
    <w:rsid w:val="00675EAB"/>
    <w:rsid w:val="00677598"/>
    <w:rsid w:val="006776CE"/>
    <w:rsid w:val="006777A9"/>
    <w:rsid w:val="006778EA"/>
    <w:rsid w:val="00677D35"/>
    <w:rsid w:val="00677ECD"/>
    <w:rsid w:val="0068098A"/>
    <w:rsid w:val="006820CC"/>
    <w:rsid w:val="0068295A"/>
    <w:rsid w:val="00682961"/>
    <w:rsid w:val="00683834"/>
    <w:rsid w:val="006853BA"/>
    <w:rsid w:val="00686AFD"/>
    <w:rsid w:val="00686B7F"/>
    <w:rsid w:val="00687894"/>
    <w:rsid w:val="00687976"/>
    <w:rsid w:val="00690322"/>
    <w:rsid w:val="0069073B"/>
    <w:rsid w:val="00690C34"/>
    <w:rsid w:val="00690C89"/>
    <w:rsid w:val="00691BE0"/>
    <w:rsid w:val="00691D32"/>
    <w:rsid w:val="00691FCB"/>
    <w:rsid w:val="00692303"/>
    <w:rsid w:val="006923CD"/>
    <w:rsid w:val="006928DA"/>
    <w:rsid w:val="00692AB6"/>
    <w:rsid w:val="0069345C"/>
    <w:rsid w:val="00694392"/>
    <w:rsid w:val="006945D9"/>
    <w:rsid w:val="006950AD"/>
    <w:rsid w:val="006955BF"/>
    <w:rsid w:val="00695702"/>
    <w:rsid w:val="00695743"/>
    <w:rsid w:val="00695761"/>
    <w:rsid w:val="00695F6B"/>
    <w:rsid w:val="00697C6D"/>
    <w:rsid w:val="006A000B"/>
    <w:rsid w:val="006A030E"/>
    <w:rsid w:val="006A036B"/>
    <w:rsid w:val="006A03C0"/>
    <w:rsid w:val="006A135F"/>
    <w:rsid w:val="006A1A93"/>
    <w:rsid w:val="006A1D9C"/>
    <w:rsid w:val="006A205B"/>
    <w:rsid w:val="006A245B"/>
    <w:rsid w:val="006A2844"/>
    <w:rsid w:val="006A30D9"/>
    <w:rsid w:val="006A3672"/>
    <w:rsid w:val="006A3D5F"/>
    <w:rsid w:val="006A3F26"/>
    <w:rsid w:val="006A411C"/>
    <w:rsid w:val="006A4416"/>
    <w:rsid w:val="006A4442"/>
    <w:rsid w:val="006A4BDE"/>
    <w:rsid w:val="006A4D90"/>
    <w:rsid w:val="006A51D2"/>
    <w:rsid w:val="006A53D2"/>
    <w:rsid w:val="006A5437"/>
    <w:rsid w:val="006A5769"/>
    <w:rsid w:val="006A5AF4"/>
    <w:rsid w:val="006A6B7C"/>
    <w:rsid w:val="006A70AA"/>
    <w:rsid w:val="006A79BD"/>
    <w:rsid w:val="006A7A93"/>
    <w:rsid w:val="006B058F"/>
    <w:rsid w:val="006B0735"/>
    <w:rsid w:val="006B1C39"/>
    <w:rsid w:val="006B2CA5"/>
    <w:rsid w:val="006B31EB"/>
    <w:rsid w:val="006B49B3"/>
    <w:rsid w:val="006B512D"/>
    <w:rsid w:val="006B56FE"/>
    <w:rsid w:val="006B6346"/>
    <w:rsid w:val="006B6CF6"/>
    <w:rsid w:val="006B7069"/>
    <w:rsid w:val="006B7DDA"/>
    <w:rsid w:val="006C003D"/>
    <w:rsid w:val="006C1ACC"/>
    <w:rsid w:val="006C312B"/>
    <w:rsid w:val="006C323D"/>
    <w:rsid w:val="006C3343"/>
    <w:rsid w:val="006C474D"/>
    <w:rsid w:val="006C47E8"/>
    <w:rsid w:val="006C4808"/>
    <w:rsid w:val="006C4C38"/>
    <w:rsid w:val="006C51A8"/>
    <w:rsid w:val="006C5C86"/>
    <w:rsid w:val="006C6140"/>
    <w:rsid w:val="006C64A4"/>
    <w:rsid w:val="006C6911"/>
    <w:rsid w:val="006C6D4D"/>
    <w:rsid w:val="006D07E6"/>
    <w:rsid w:val="006D09E1"/>
    <w:rsid w:val="006D10D7"/>
    <w:rsid w:val="006D10ED"/>
    <w:rsid w:val="006D1262"/>
    <w:rsid w:val="006D1BC2"/>
    <w:rsid w:val="006D1C37"/>
    <w:rsid w:val="006D1D71"/>
    <w:rsid w:val="006D1E2B"/>
    <w:rsid w:val="006D214C"/>
    <w:rsid w:val="006D2851"/>
    <w:rsid w:val="006D3A3E"/>
    <w:rsid w:val="006D3F5F"/>
    <w:rsid w:val="006D4503"/>
    <w:rsid w:val="006D4525"/>
    <w:rsid w:val="006D45DE"/>
    <w:rsid w:val="006D509F"/>
    <w:rsid w:val="006D5644"/>
    <w:rsid w:val="006D5651"/>
    <w:rsid w:val="006D5CDC"/>
    <w:rsid w:val="006D5F83"/>
    <w:rsid w:val="006D67DB"/>
    <w:rsid w:val="006D6A00"/>
    <w:rsid w:val="006D6F77"/>
    <w:rsid w:val="006D7005"/>
    <w:rsid w:val="006D70DC"/>
    <w:rsid w:val="006D7722"/>
    <w:rsid w:val="006D7B38"/>
    <w:rsid w:val="006D7BA7"/>
    <w:rsid w:val="006D7ED7"/>
    <w:rsid w:val="006E00CF"/>
    <w:rsid w:val="006E02DD"/>
    <w:rsid w:val="006E02E0"/>
    <w:rsid w:val="006E02E8"/>
    <w:rsid w:val="006E06AE"/>
    <w:rsid w:val="006E0DA7"/>
    <w:rsid w:val="006E0FE9"/>
    <w:rsid w:val="006E1270"/>
    <w:rsid w:val="006E1950"/>
    <w:rsid w:val="006E1967"/>
    <w:rsid w:val="006E216E"/>
    <w:rsid w:val="006E2AE6"/>
    <w:rsid w:val="006E2E81"/>
    <w:rsid w:val="006E3137"/>
    <w:rsid w:val="006E3543"/>
    <w:rsid w:val="006E48CF"/>
    <w:rsid w:val="006E4C52"/>
    <w:rsid w:val="006E5201"/>
    <w:rsid w:val="006E644C"/>
    <w:rsid w:val="006E6A09"/>
    <w:rsid w:val="006E763A"/>
    <w:rsid w:val="006E78B8"/>
    <w:rsid w:val="006E7F1B"/>
    <w:rsid w:val="006F0679"/>
    <w:rsid w:val="006F0971"/>
    <w:rsid w:val="006F0DD9"/>
    <w:rsid w:val="006F1BA5"/>
    <w:rsid w:val="006F26B5"/>
    <w:rsid w:val="006F3253"/>
    <w:rsid w:val="006F4395"/>
    <w:rsid w:val="006F4957"/>
    <w:rsid w:val="006F4B18"/>
    <w:rsid w:val="006F5820"/>
    <w:rsid w:val="006F610F"/>
    <w:rsid w:val="006F62F2"/>
    <w:rsid w:val="006F65A2"/>
    <w:rsid w:val="006F6A41"/>
    <w:rsid w:val="006F734E"/>
    <w:rsid w:val="006F76CE"/>
    <w:rsid w:val="006F7813"/>
    <w:rsid w:val="006F7A12"/>
    <w:rsid w:val="006F7FB6"/>
    <w:rsid w:val="0070055B"/>
    <w:rsid w:val="00701012"/>
    <w:rsid w:val="007010E2"/>
    <w:rsid w:val="007014AB"/>
    <w:rsid w:val="00701649"/>
    <w:rsid w:val="007017C6"/>
    <w:rsid w:val="00701803"/>
    <w:rsid w:val="00701DD6"/>
    <w:rsid w:val="00701F79"/>
    <w:rsid w:val="00702218"/>
    <w:rsid w:val="00702733"/>
    <w:rsid w:val="00702FA6"/>
    <w:rsid w:val="00703028"/>
    <w:rsid w:val="007031C9"/>
    <w:rsid w:val="00703B56"/>
    <w:rsid w:val="00703D44"/>
    <w:rsid w:val="00704043"/>
    <w:rsid w:val="0070417A"/>
    <w:rsid w:val="00704805"/>
    <w:rsid w:val="00705F82"/>
    <w:rsid w:val="00706534"/>
    <w:rsid w:val="00706B69"/>
    <w:rsid w:val="00706F25"/>
    <w:rsid w:val="00710BBE"/>
    <w:rsid w:val="00710FF4"/>
    <w:rsid w:val="00711002"/>
    <w:rsid w:val="00711BD9"/>
    <w:rsid w:val="00711E55"/>
    <w:rsid w:val="007120D0"/>
    <w:rsid w:val="00712967"/>
    <w:rsid w:val="00712E8D"/>
    <w:rsid w:val="00712EA1"/>
    <w:rsid w:val="00713606"/>
    <w:rsid w:val="00713F70"/>
    <w:rsid w:val="00714CED"/>
    <w:rsid w:val="007150E1"/>
    <w:rsid w:val="007153CE"/>
    <w:rsid w:val="00715C32"/>
    <w:rsid w:val="007165FF"/>
    <w:rsid w:val="00716789"/>
    <w:rsid w:val="00716AC4"/>
    <w:rsid w:val="007173C9"/>
    <w:rsid w:val="00717666"/>
    <w:rsid w:val="00717C00"/>
    <w:rsid w:val="00720004"/>
    <w:rsid w:val="00720468"/>
    <w:rsid w:val="0072059E"/>
    <w:rsid w:val="00720816"/>
    <w:rsid w:val="00720975"/>
    <w:rsid w:val="007217A7"/>
    <w:rsid w:val="00721971"/>
    <w:rsid w:val="007225F6"/>
    <w:rsid w:val="00723400"/>
    <w:rsid w:val="00723E14"/>
    <w:rsid w:val="00723E4D"/>
    <w:rsid w:val="0072421B"/>
    <w:rsid w:val="007246EB"/>
    <w:rsid w:val="00725048"/>
    <w:rsid w:val="007250D0"/>
    <w:rsid w:val="0072542A"/>
    <w:rsid w:val="00725582"/>
    <w:rsid w:val="0072590A"/>
    <w:rsid w:val="00725A5F"/>
    <w:rsid w:val="00726232"/>
    <w:rsid w:val="00726FD5"/>
    <w:rsid w:val="0072712E"/>
    <w:rsid w:val="0072724E"/>
    <w:rsid w:val="00727856"/>
    <w:rsid w:val="00727924"/>
    <w:rsid w:val="00730F92"/>
    <w:rsid w:val="00731C11"/>
    <w:rsid w:val="00731E30"/>
    <w:rsid w:val="007325E5"/>
    <w:rsid w:val="00732D65"/>
    <w:rsid w:val="00732E05"/>
    <w:rsid w:val="00732F95"/>
    <w:rsid w:val="00733573"/>
    <w:rsid w:val="00733850"/>
    <w:rsid w:val="007347EB"/>
    <w:rsid w:val="00734944"/>
    <w:rsid w:val="00734995"/>
    <w:rsid w:val="00734B77"/>
    <w:rsid w:val="00735304"/>
    <w:rsid w:val="00735FDB"/>
    <w:rsid w:val="00736ECE"/>
    <w:rsid w:val="00737109"/>
    <w:rsid w:val="00737A26"/>
    <w:rsid w:val="00737AF3"/>
    <w:rsid w:val="00740073"/>
    <w:rsid w:val="0074014A"/>
    <w:rsid w:val="0074045C"/>
    <w:rsid w:val="00740A88"/>
    <w:rsid w:val="007410B7"/>
    <w:rsid w:val="007416B1"/>
    <w:rsid w:val="00741AF9"/>
    <w:rsid w:val="00741C58"/>
    <w:rsid w:val="00742407"/>
    <w:rsid w:val="0074248E"/>
    <w:rsid w:val="00743769"/>
    <w:rsid w:val="007437BF"/>
    <w:rsid w:val="00743AAE"/>
    <w:rsid w:val="00743C37"/>
    <w:rsid w:val="007442D0"/>
    <w:rsid w:val="007444C1"/>
    <w:rsid w:val="00744923"/>
    <w:rsid w:val="00744E0B"/>
    <w:rsid w:val="00744E83"/>
    <w:rsid w:val="007458FC"/>
    <w:rsid w:val="00745A34"/>
    <w:rsid w:val="00745E9E"/>
    <w:rsid w:val="00745FC6"/>
    <w:rsid w:val="007461CE"/>
    <w:rsid w:val="00746B38"/>
    <w:rsid w:val="00746D68"/>
    <w:rsid w:val="00746EC9"/>
    <w:rsid w:val="00746EDB"/>
    <w:rsid w:val="0074765C"/>
    <w:rsid w:val="00747715"/>
    <w:rsid w:val="00750C01"/>
    <w:rsid w:val="007512BA"/>
    <w:rsid w:val="007518D6"/>
    <w:rsid w:val="007519B4"/>
    <w:rsid w:val="00751F39"/>
    <w:rsid w:val="007520F6"/>
    <w:rsid w:val="0075228C"/>
    <w:rsid w:val="0075274B"/>
    <w:rsid w:val="00753299"/>
    <w:rsid w:val="007535D7"/>
    <w:rsid w:val="00753807"/>
    <w:rsid w:val="007539EA"/>
    <w:rsid w:val="00754434"/>
    <w:rsid w:val="0075474F"/>
    <w:rsid w:val="00755521"/>
    <w:rsid w:val="00755D7C"/>
    <w:rsid w:val="00756D63"/>
    <w:rsid w:val="00756E11"/>
    <w:rsid w:val="00757170"/>
    <w:rsid w:val="007577E9"/>
    <w:rsid w:val="00757A6A"/>
    <w:rsid w:val="00757AD9"/>
    <w:rsid w:val="00760A78"/>
    <w:rsid w:val="00761124"/>
    <w:rsid w:val="0076224E"/>
    <w:rsid w:val="00762FD8"/>
    <w:rsid w:val="007637EA"/>
    <w:rsid w:val="00763B51"/>
    <w:rsid w:val="00763B6B"/>
    <w:rsid w:val="00763E71"/>
    <w:rsid w:val="00763F9D"/>
    <w:rsid w:val="00763FA1"/>
    <w:rsid w:val="00764D3D"/>
    <w:rsid w:val="00765193"/>
    <w:rsid w:val="007652BC"/>
    <w:rsid w:val="00766E62"/>
    <w:rsid w:val="007676FE"/>
    <w:rsid w:val="00770564"/>
    <w:rsid w:val="00770569"/>
    <w:rsid w:val="00770618"/>
    <w:rsid w:val="007708EB"/>
    <w:rsid w:val="00770C76"/>
    <w:rsid w:val="00770F4A"/>
    <w:rsid w:val="007710F7"/>
    <w:rsid w:val="0077156E"/>
    <w:rsid w:val="00771894"/>
    <w:rsid w:val="007725B4"/>
    <w:rsid w:val="007729DC"/>
    <w:rsid w:val="00772A8C"/>
    <w:rsid w:val="00772D87"/>
    <w:rsid w:val="0077327E"/>
    <w:rsid w:val="00773F0E"/>
    <w:rsid w:val="0077429A"/>
    <w:rsid w:val="00775368"/>
    <w:rsid w:val="00775CBA"/>
    <w:rsid w:val="00776687"/>
    <w:rsid w:val="00776BAC"/>
    <w:rsid w:val="0077767A"/>
    <w:rsid w:val="00777783"/>
    <w:rsid w:val="00777905"/>
    <w:rsid w:val="00777B40"/>
    <w:rsid w:val="00777FFD"/>
    <w:rsid w:val="007802C5"/>
    <w:rsid w:val="00780D19"/>
    <w:rsid w:val="007815ED"/>
    <w:rsid w:val="00781676"/>
    <w:rsid w:val="007823E8"/>
    <w:rsid w:val="007826FF"/>
    <w:rsid w:val="00782C91"/>
    <w:rsid w:val="0078313F"/>
    <w:rsid w:val="00783C3E"/>
    <w:rsid w:val="00783C83"/>
    <w:rsid w:val="007843FE"/>
    <w:rsid w:val="00784A6D"/>
    <w:rsid w:val="00784A96"/>
    <w:rsid w:val="00784BC9"/>
    <w:rsid w:val="00784C96"/>
    <w:rsid w:val="00784F5C"/>
    <w:rsid w:val="007850B5"/>
    <w:rsid w:val="00785BAF"/>
    <w:rsid w:val="00785C5D"/>
    <w:rsid w:val="00785D29"/>
    <w:rsid w:val="007866A0"/>
    <w:rsid w:val="00786F7C"/>
    <w:rsid w:val="00786FCF"/>
    <w:rsid w:val="007874A7"/>
    <w:rsid w:val="0078778B"/>
    <w:rsid w:val="00787FE4"/>
    <w:rsid w:val="0079038A"/>
    <w:rsid w:val="00790924"/>
    <w:rsid w:val="00791E89"/>
    <w:rsid w:val="00792129"/>
    <w:rsid w:val="00792697"/>
    <w:rsid w:val="007929E8"/>
    <w:rsid w:val="00792BB6"/>
    <w:rsid w:val="00792F5C"/>
    <w:rsid w:val="00793F70"/>
    <w:rsid w:val="00794205"/>
    <w:rsid w:val="00795375"/>
    <w:rsid w:val="007955CC"/>
    <w:rsid w:val="0079585F"/>
    <w:rsid w:val="0079593F"/>
    <w:rsid w:val="00795AAC"/>
    <w:rsid w:val="00796757"/>
    <w:rsid w:val="007971F5"/>
    <w:rsid w:val="00797778"/>
    <w:rsid w:val="007979DE"/>
    <w:rsid w:val="00797FEC"/>
    <w:rsid w:val="007A00F8"/>
    <w:rsid w:val="007A06AF"/>
    <w:rsid w:val="007A1363"/>
    <w:rsid w:val="007A1929"/>
    <w:rsid w:val="007A2785"/>
    <w:rsid w:val="007A2994"/>
    <w:rsid w:val="007A390A"/>
    <w:rsid w:val="007A4116"/>
    <w:rsid w:val="007A441D"/>
    <w:rsid w:val="007A4F40"/>
    <w:rsid w:val="007A50FE"/>
    <w:rsid w:val="007A5560"/>
    <w:rsid w:val="007A55CC"/>
    <w:rsid w:val="007A5955"/>
    <w:rsid w:val="007A59B7"/>
    <w:rsid w:val="007A6911"/>
    <w:rsid w:val="007A6C88"/>
    <w:rsid w:val="007A72F9"/>
    <w:rsid w:val="007A736B"/>
    <w:rsid w:val="007A7484"/>
    <w:rsid w:val="007B0741"/>
    <w:rsid w:val="007B0B6B"/>
    <w:rsid w:val="007B2594"/>
    <w:rsid w:val="007B295F"/>
    <w:rsid w:val="007B29BA"/>
    <w:rsid w:val="007B33E4"/>
    <w:rsid w:val="007B3C1F"/>
    <w:rsid w:val="007B405F"/>
    <w:rsid w:val="007B4B2C"/>
    <w:rsid w:val="007B51B6"/>
    <w:rsid w:val="007B531E"/>
    <w:rsid w:val="007B5A1C"/>
    <w:rsid w:val="007B5FDA"/>
    <w:rsid w:val="007B71CE"/>
    <w:rsid w:val="007B77BC"/>
    <w:rsid w:val="007B7A0E"/>
    <w:rsid w:val="007B7A96"/>
    <w:rsid w:val="007C0451"/>
    <w:rsid w:val="007C0CEC"/>
    <w:rsid w:val="007C17B4"/>
    <w:rsid w:val="007C24B9"/>
    <w:rsid w:val="007C3676"/>
    <w:rsid w:val="007C370B"/>
    <w:rsid w:val="007C38B5"/>
    <w:rsid w:val="007C38F0"/>
    <w:rsid w:val="007C3E37"/>
    <w:rsid w:val="007C3E99"/>
    <w:rsid w:val="007C41DA"/>
    <w:rsid w:val="007C4CA9"/>
    <w:rsid w:val="007C50BA"/>
    <w:rsid w:val="007C5CF3"/>
    <w:rsid w:val="007C61A9"/>
    <w:rsid w:val="007C6FF3"/>
    <w:rsid w:val="007C70AB"/>
    <w:rsid w:val="007C74F6"/>
    <w:rsid w:val="007C7A28"/>
    <w:rsid w:val="007D0BF5"/>
    <w:rsid w:val="007D0D7F"/>
    <w:rsid w:val="007D1897"/>
    <w:rsid w:val="007D198C"/>
    <w:rsid w:val="007D1BE8"/>
    <w:rsid w:val="007D2188"/>
    <w:rsid w:val="007D326F"/>
    <w:rsid w:val="007D368A"/>
    <w:rsid w:val="007D37F9"/>
    <w:rsid w:val="007D528F"/>
    <w:rsid w:val="007D5C27"/>
    <w:rsid w:val="007D678B"/>
    <w:rsid w:val="007D7104"/>
    <w:rsid w:val="007D7876"/>
    <w:rsid w:val="007D78CD"/>
    <w:rsid w:val="007D7BE6"/>
    <w:rsid w:val="007E041E"/>
    <w:rsid w:val="007E0693"/>
    <w:rsid w:val="007E119C"/>
    <w:rsid w:val="007E1C86"/>
    <w:rsid w:val="007E1CEE"/>
    <w:rsid w:val="007E226B"/>
    <w:rsid w:val="007E2A8C"/>
    <w:rsid w:val="007E2F58"/>
    <w:rsid w:val="007E329F"/>
    <w:rsid w:val="007E32FD"/>
    <w:rsid w:val="007E38D3"/>
    <w:rsid w:val="007E463B"/>
    <w:rsid w:val="007E4CD7"/>
    <w:rsid w:val="007E4E11"/>
    <w:rsid w:val="007E5434"/>
    <w:rsid w:val="007E5F69"/>
    <w:rsid w:val="007E6998"/>
    <w:rsid w:val="007E6A9D"/>
    <w:rsid w:val="007E6EAA"/>
    <w:rsid w:val="007E71BC"/>
    <w:rsid w:val="007F031F"/>
    <w:rsid w:val="007F03C2"/>
    <w:rsid w:val="007F0651"/>
    <w:rsid w:val="007F0849"/>
    <w:rsid w:val="007F09D6"/>
    <w:rsid w:val="007F0BFD"/>
    <w:rsid w:val="007F0D24"/>
    <w:rsid w:val="007F0F18"/>
    <w:rsid w:val="007F117A"/>
    <w:rsid w:val="007F1765"/>
    <w:rsid w:val="007F1AD2"/>
    <w:rsid w:val="007F2708"/>
    <w:rsid w:val="007F27D3"/>
    <w:rsid w:val="007F3386"/>
    <w:rsid w:val="007F3428"/>
    <w:rsid w:val="007F4507"/>
    <w:rsid w:val="007F48DE"/>
    <w:rsid w:val="007F49C6"/>
    <w:rsid w:val="007F4FCF"/>
    <w:rsid w:val="007F5579"/>
    <w:rsid w:val="007F5D03"/>
    <w:rsid w:val="007F5D68"/>
    <w:rsid w:val="007F6A26"/>
    <w:rsid w:val="007F6C25"/>
    <w:rsid w:val="007F6C31"/>
    <w:rsid w:val="007F6E89"/>
    <w:rsid w:val="008001E9"/>
    <w:rsid w:val="00802373"/>
    <w:rsid w:val="0080261E"/>
    <w:rsid w:val="00802820"/>
    <w:rsid w:val="00802CAA"/>
    <w:rsid w:val="00802D58"/>
    <w:rsid w:val="00803E80"/>
    <w:rsid w:val="00803FC9"/>
    <w:rsid w:val="008046FD"/>
    <w:rsid w:val="008048D7"/>
    <w:rsid w:val="00804E84"/>
    <w:rsid w:val="008051F4"/>
    <w:rsid w:val="00805493"/>
    <w:rsid w:val="0080582F"/>
    <w:rsid w:val="008062A2"/>
    <w:rsid w:val="00806DA5"/>
    <w:rsid w:val="008106A5"/>
    <w:rsid w:val="008112D1"/>
    <w:rsid w:val="00811331"/>
    <w:rsid w:val="00811BD3"/>
    <w:rsid w:val="00812D70"/>
    <w:rsid w:val="008136DA"/>
    <w:rsid w:val="00813E0B"/>
    <w:rsid w:val="00814135"/>
    <w:rsid w:val="00814C9D"/>
    <w:rsid w:val="00815780"/>
    <w:rsid w:val="008159D7"/>
    <w:rsid w:val="00815C97"/>
    <w:rsid w:val="00815CF2"/>
    <w:rsid w:val="0081600D"/>
    <w:rsid w:val="008169C3"/>
    <w:rsid w:val="008170D3"/>
    <w:rsid w:val="00817196"/>
    <w:rsid w:val="008176EF"/>
    <w:rsid w:val="008178D2"/>
    <w:rsid w:val="00817D27"/>
    <w:rsid w:val="008210F4"/>
    <w:rsid w:val="00821622"/>
    <w:rsid w:val="00821D36"/>
    <w:rsid w:val="00821D3F"/>
    <w:rsid w:val="00821FC9"/>
    <w:rsid w:val="00822E27"/>
    <w:rsid w:val="00823346"/>
    <w:rsid w:val="0082375E"/>
    <w:rsid w:val="00823914"/>
    <w:rsid w:val="00823CF9"/>
    <w:rsid w:val="00823DD8"/>
    <w:rsid w:val="0082443B"/>
    <w:rsid w:val="00824879"/>
    <w:rsid w:val="00824B9D"/>
    <w:rsid w:val="0082565E"/>
    <w:rsid w:val="008259F3"/>
    <w:rsid w:val="008263D1"/>
    <w:rsid w:val="008266C1"/>
    <w:rsid w:val="00826BA9"/>
    <w:rsid w:val="00826BBA"/>
    <w:rsid w:val="00826BBD"/>
    <w:rsid w:val="008275E0"/>
    <w:rsid w:val="0083033A"/>
    <w:rsid w:val="0083073C"/>
    <w:rsid w:val="0083114D"/>
    <w:rsid w:val="008317A7"/>
    <w:rsid w:val="00831943"/>
    <w:rsid w:val="00831B51"/>
    <w:rsid w:val="0083213A"/>
    <w:rsid w:val="00832B8F"/>
    <w:rsid w:val="0083327E"/>
    <w:rsid w:val="00833D48"/>
    <w:rsid w:val="008341E9"/>
    <w:rsid w:val="00834513"/>
    <w:rsid w:val="00834A95"/>
    <w:rsid w:val="00834A9F"/>
    <w:rsid w:val="0083552C"/>
    <w:rsid w:val="008357A3"/>
    <w:rsid w:val="00835B60"/>
    <w:rsid w:val="00835DD8"/>
    <w:rsid w:val="00836FE1"/>
    <w:rsid w:val="00840325"/>
    <w:rsid w:val="00840AA2"/>
    <w:rsid w:val="0084259C"/>
    <w:rsid w:val="00842757"/>
    <w:rsid w:val="00842F3C"/>
    <w:rsid w:val="0084363D"/>
    <w:rsid w:val="00843980"/>
    <w:rsid w:val="00843EF8"/>
    <w:rsid w:val="00844154"/>
    <w:rsid w:val="00844266"/>
    <w:rsid w:val="00844532"/>
    <w:rsid w:val="00845DF8"/>
    <w:rsid w:val="0084628A"/>
    <w:rsid w:val="008464BB"/>
    <w:rsid w:val="00846E3E"/>
    <w:rsid w:val="008470FD"/>
    <w:rsid w:val="0084773C"/>
    <w:rsid w:val="00847B6A"/>
    <w:rsid w:val="00847CCF"/>
    <w:rsid w:val="00847F76"/>
    <w:rsid w:val="0085176B"/>
    <w:rsid w:val="00852768"/>
    <w:rsid w:val="00852929"/>
    <w:rsid w:val="00852F52"/>
    <w:rsid w:val="00853123"/>
    <w:rsid w:val="00854542"/>
    <w:rsid w:val="0085489C"/>
    <w:rsid w:val="00854A45"/>
    <w:rsid w:val="00854A72"/>
    <w:rsid w:val="00854ABE"/>
    <w:rsid w:val="00855B13"/>
    <w:rsid w:val="0085667D"/>
    <w:rsid w:val="00856A86"/>
    <w:rsid w:val="008571E3"/>
    <w:rsid w:val="0085754B"/>
    <w:rsid w:val="00857C8C"/>
    <w:rsid w:val="00860701"/>
    <w:rsid w:val="00861243"/>
    <w:rsid w:val="008616FE"/>
    <w:rsid w:val="00861F3A"/>
    <w:rsid w:val="0086207C"/>
    <w:rsid w:val="00862305"/>
    <w:rsid w:val="00862415"/>
    <w:rsid w:val="00862729"/>
    <w:rsid w:val="00862F9C"/>
    <w:rsid w:val="00862FBF"/>
    <w:rsid w:val="008639E5"/>
    <w:rsid w:val="00863F0B"/>
    <w:rsid w:val="00864116"/>
    <w:rsid w:val="008642B1"/>
    <w:rsid w:val="008643CB"/>
    <w:rsid w:val="00864553"/>
    <w:rsid w:val="00864880"/>
    <w:rsid w:val="00864CEE"/>
    <w:rsid w:val="00866530"/>
    <w:rsid w:val="008701A3"/>
    <w:rsid w:val="008706C0"/>
    <w:rsid w:val="0087088B"/>
    <w:rsid w:val="00870E5C"/>
    <w:rsid w:val="00870E99"/>
    <w:rsid w:val="00870F6B"/>
    <w:rsid w:val="00871317"/>
    <w:rsid w:val="00871988"/>
    <w:rsid w:val="00871F47"/>
    <w:rsid w:val="00872088"/>
    <w:rsid w:val="008723E5"/>
    <w:rsid w:val="008729BF"/>
    <w:rsid w:val="008736B0"/>
    <w:rsid w:val="00874BD4"/>
    <w:rsid w:val="0087563E"/>
    <w:rsid w:val="008765E3"/>
    <w:rsid w:val="008768F4"/>
    <w:rsid w:val="00876931"/>
    <w:rsid w:val="00877144"/>
    <w:rsid w:val="00877930"/>
    <w:rsid w:val="00877D87"/>
    <w:rsid w:val="00880829"/>
    <w:rsid w:val="008811BD"/>
    <w:rsid w:val="0088190B"/>
    <w:rsid w:val="00881E5B"/>
    <w:rsid w:val="008826C3"/>
    <w:rsid w:val="0088271B"/>
    <w:rsid w:val="00882DF1"/>
    <w:rsid w:val="00883DE5"/>
    <w:rsid w:val="0088479A"/>
    <w:rsid w:val="00884824"/>
    <w:rsid w:val="008851A9"/>
    <w:rsid w:val="00885259"/>
    <w:rsid w:val="00885263"/>
    <w:rsid w:val="0088532A"/>
    <w:rsid w:val="008855DE"/>
    <w:rsid w:val="008856BD"/>
    <w:rsid w:val="00885FB0"/>
    <w:rsid w:val="00885FDD"/>
    <w:rsid w:val="00886215"/>
    <w:rsid w:val="00886799"/>
    <w:rsid w:val="008867AB"/>
    <w:rsid w:val="00886839"/>
    <w:rsid w:val="00886A55"/>
    <w:rsid w:val="008873FF"/>
    <w:rsid w:val="0088779B"/>
    <w:rsid w:val="00890409"/>
    <w:rsid w:val="00890641"/>
    <w:rsid w:val="00890ECA"/>
    <w:rsid w:val="00891793"/>
    <w:rsid w:val="0089195F"/>
    <w:rsid w:val="008919FF"/>
    <w:rsid w:val="00891A2A"/>
    <w:rsid w:val="00891B78"/>
    <w:rsid w:val="00891EE0"/>
    <w:rsid w:val="00892289"/>
    <w:rsid w:val="0089259E"/>
    <w:rsid w:val="00892AD8"/>
    <w:rsid w:val="00892CC3"/>
    <w:rsid w:val="00892DDF"/>
    <w:rsid w:val="008932E1"/>
    <w:rsid w:val="00893309"/>
    <w:rsid w:val="0089383B"/>
    <w:rsid w:val="00893B2B"/>
    <w:rsid w:val="00893BA7"/>
    <w:rsid w:val="0089404A"/>
    <w:rsid w:val="00894DF4"/>
    <w:rsid w:val="00895C43"/>
    <w:rsid w:val="00895C8A"/>
    <w:rsid w:val="00895DDD"/>
    <w:rsid w:val="008968F6"/>
    <w:rsid w:val="00896E8F"/>
    <w:rsid w:val="00896F83"/>
    <w:rsid w:val="0089762E"/>
    <w:rsid w:val="00897C43"/>
    <w:rsid w:val="008A029D"/>
    <w:rsid w:val="008A0D0F"/>
    <w:rsid w:val="008A0E02"/>
    <w:rsid w:val="008A0E3C"/>
    <w:rsid w:val="008A0F0A"/>
    <w:rsid w:val="008A0F9E"/>
    <w:rsid w:val="008A1455"/>
    <w:rsid w:val="008A1518"/>
    <w:rsid w:val="008A1AD0"/>
    <w:rsid w:val="008A2502"/>
    <w:rsid w:val="008A27A9"/>
    <w:rsid w:val="008A2858"/>
    <w:rsid w:val="008A2C81"/>
    <w:rsid w:val="008A2CCB"/>
    <w:rsid w:val="008A2EFD"/>
    <w:rsid w:val="008A3CC8"/>
    <w:rsid w:val="008A4BC2"/>
    <w:rsid w:val="008A510C"/>
    <w:rsid w:val="008A52EE"/>
    <w:rsid w:val="008A59E6"/>
    <w:rsid w:val="008A59E9"/>
    <w:rsid w:val="008A60D9"/>
    <w:rsid w:val="008A6115"/>
    <w:rsid w:val="008A6516"/>
    <w:rsid w:val="008A69B3"/>
    <w:rsid w:val="008A6B56"/>
    <w:rsid w:val="008A6C60"/>
    <w:rsid w:val="008A796E"/>
    <w:rsid w:val="008A79F0"/>
    <w:rsid w:val="008A7F6F"/>
    <w:rsid w:val="008B06BC"/>
    <w:rsid w:val="008B0890"/>
    <w:rsid w:val="008B0EC9"/>
    <w:rsid w:val="008B2B55"/>
    <w:rsid w:val="008B2CDB"/>
    <w:rsid w:val="008B38B9"/>
    <w:rsid w:val="008B3C4F"/>
    <w:rsid w:val="008B491C"/>
    <w:rsid w:val="008B4C06"/>
    <w:rsid w:val="008B4C98"/>
    <w:rsid w:val="008B4D32"/>
    <w:rsid w:val="008B50D1"/>
    <w:rsid w:val="008B5503"/>
    <w:rsid w:val="008B57A9"/>
    <w:rsid w:val="008B5FA8"/>
    <w:rsid w:val="008B6F55"/>
    <w:rsid w:val="008B74D3"/>
    <w:rsid w:val="008B7585"/>
    <w:rsid w:val="008B7A59"/>
    <w:rsid w:val="008B7ACF"/>
    <w:rsid w:val="008C0457"/>
    <w:rsid w:val="008C1277"/>
    <w:rsid w:val="008C1939"/>
    <w:rsid w:val="008C225D"/>
    <w:rsid w:val="008C2920"/>
    <w:rsid w:val="008C31A5"/>
    <w:rsid w:val="008C42B1"/>
    <w:rsid w:val="008C43D3"/>
    <w:rsid w:val="008C5312"/>
    <w:rsid w:val="008C5558"/>
    <w:rsid w:val="008C58D4"/>
    <w:rsid w:val="008C59D4"/>
    <w:rsid w:val="008C663B"/>
    <w:rsid w:val="008C66C9"/>
    <w:rsid w:val="008C69D8"/>
    <w:rsid w:val="008C6B9E"/>
    <w:rsid w:val="008C6D2A"/>
    <w:rsid w:val="008C7A49"/>
    <w:rsid w:val="008D0861"/>
    <w:rsid w:val="008D0B12"/>
    <w:rsid w:val="008D0BEB"/>
    <w:rsid w:val="008D0CC9"/>
    <w:rsid w:val="008D0D4E"/>
    <w:rsid w:val="008D0EF5"/>
    <w:rsid w:val="008D0FA3"/>
    <w:rsid w:val="008D1E1E"/>
    <w:rsid w:val="008D2613"/>
    <w:rsid w:val="008D2BA7"/>
    <w:rsid w:val="008D356B"/>
    <w:rsid w:val="008D3AF7"/>
    <w:rsid w:val="008D3DF0"/>
    <w:rsid w:val="008D3F9D"/>
    <w:rsid w:val="008D480B"/>
    <w:rsid w:val="008D4CBD"/>
    <w:rsid w:val="008D4FD0"/>
    <w:rsid w:val="008D516C"/>
    <w:rsid w:val="008D568F"/>
    <w:rsid w:val="008D5F2F"/>
    <w:rsid w:val="008D643A"/>
    <w:rsid w:val="008D67E9"/>
    <w:rsid w:val="008D67F1"/>
    <w:rsid w:val="008D6A83"/>
    <w:rsid w:val="008D7E1E"/>
    <w:rsid w:val="008E01A9"/>
    <w:rsid w:val="008E02DC"/>
    <w:rsid w:val="008E0438"/>
    <w:rsid w:val="008E0BE6"/>
    <w:rsid w:val="008E1308"/>
    <w:rsid w:val="008E234A"/>
    <w:rsid w:val="008E246C"/>
    <w:rsid w:val="008E2F0A"/>
    <w:rsid w:val="008E3A01"/>
    <w:rsid w:val="008E3B4D"/>
    <w:rsid w:val="008E3E5C"/>
    <w:rsid w:val="008E41B4"/>
    <w:rsid w:val="008E49CE"/>
    <w:rsid w:val="008E4F1D"/>
    <w:rsid w:val="008E5A2B"/>
    <w:rsid w:val="008E63D1"/>
    <w:rsid w:val="008E63DD"/>
    <w:rsid w:val="008E6CB6"/>
    <w:rsid w:val="008E73D1"/>
    <w:rsid w:val="008E778A"/>
    <w:rsid w:val="008E7F8D"/>
    <w:rsid w:val="008F0286"/>
    <w:rsid w:val="008F08A4"/>
    <w:rsid w:val="008F09E6"/>
    <w:rsid w:val="008F0FC9"/>
    <w:rsid w:val="008F101A"/>
    <w:rsid w:val="008F1295"/>
    <w:rsid w:val="008F16FA"/>
    <w:rsid w:val="008F20CA"/>
    <w:rsid w:val="008F231F"/>
    <w:rsid w:val="008F2522"/>
    <w:rsid w:val="008F2783"/>
    <w:rsid w:val="008F29C1"/>
    <w:rsid w:val="008F35A9"/>
    <w:rsid w:val="008F363B"/>
    <w:rsid w:val="008F3893"/>
    <w:rsid w:val="008F3AC5"/>
    <w:rsid w:val="008F3C0D"/>
    <w:rsid w:val="008F3CDF"/>
    <w:rsid w:val="008F40CF"/>
    <w:rsid w:val="008F46B3"/>
    <w:rsid w:val="008F484B"/>
    <w:rsid w:val="008F4860"/>
    <w:rsid w:val="008F5078"/>
    <w:rsid w:val="008F630C"/>
    <w:rsid w:val="008F6C06"/>
    <w:rsid w:val="008F6E0B"/>
    <w:rsid w:val="008F7717"/>
    <w:rsid w:val="008F7848"/>
    <w:rsid w:val="008F7933"/>
    <w:rsid w:val="008F7D23"/>
    <w:rsid w:val="009001A3"/>
    <w:rsid w:val="009012B3"/>
    <w:rsid w:val="00901537"/>
    <w:rsid w:val="00902CFC"/>
    <w:rsid w:val="00902EC7"/>
    <w:rsid w:val="00902ED6"/>
    <w:rsid w:val="0090330D"/>
    <w:rsid w:val="00905066"/>
    <w:rsid w:val="009054DE"/>
    <w:rsid w:val="00905973"/>
    <w:rsid w:val="0090614F"/>
    <w:rsid w:val="00906E31"/>
    <w:rsid w:val="0091017E"/>
    <w:rsid w:val="009109A6"/>
    <w:rsid w:val="00910B37"/>
    <w:rsid w:val="00910B58"/>
    <w:rsid w:val="00910DB9"/>
    <w:rsid w:val="00911D85"/>
    <w:rsid w:val="00912EBF"/>
    <w:rsid w:val="0091341E"/>
    <w:rsid w:val="0091397D"/>
    <w:rsid w:val="00913B8C"/>
    <w:rsid w:val="00913D86"/>
    <w:rsid w:val="00913E0B"/>
    <w:rsid w:val="00913E8C"/>
    <w:rsid w:val="0091519C"/>
    <w:rsid w:val="0091536C"/>
    <w:rsid w:val="009157B3"/>
    <w:rsid w:val="00915ADE"/>
    <w:rsid w:val="00915B9F"/>
    <w:rsid w:val="00915D0B"/>
    <w:rsid w:val="00916A79"/>
    <w:rsid w:val="0091735E"/>
    <w:rsid w:val="00917549"/>
    <w:rsid w:val="00917563"/>
    <w:rsid w:val="0091786E"/>
    <w:rsid w:val="00921BE1"/>
    <w:rsid w:val="009221B6"/>
    <w:rsid w:val="00922545"/>
    <w:rsid w:val="0092258F"/>
    <w:rsid w:val="00922792"/>
    <w:rsid w:val="00923419"/>
    <w:rsid w:val="00923493"/>
    <w:rsid w:val="009234D1"/>
    <w:rsid w:val="009234F9"/>
    <w:rsid w:val="009236C1"/>
    <w:rsid w:val="00923859"/>
    <w:rsid w:val="009239A5"/>
    <w:rsid w:val="00923DA4"/>
    <w:rsid w:val="00924229"/>
    <w:rsid w:val="00924543"/>
    <w:rsid w:val="00924C83"/>
    <w:rsid w:val="00925E82"/>
    <w:rsid w:val="00926004"/>
    <w:rsid w:val="009265A4"/>
    <w:rsid w:val="00926664"/>
    <w:rsid w:val="00926B12"/>
    <w:rsid w:val="00926B93"/>
    <w:rsid w:val="00926E86"/>
    <w:rsid w:val="009276FF"/>
    <w:rsid w:val="00927705"/>
    <w:rsid w:val="00927856"/>
    <w:rsid w:val="00930F48"/>
    <w:rsid w:val="0093107D"/>
    <w:rsid w:val="00931A47"/>
    <w:rsid w:val="00931E08"/>
    <w:rsid w:val="0093209D"/>
    <w:rsid w:val="009320AF"/>
    <w:rsid w:val="00932E01"/>
    <w:rsid w:val="009331FB"/>
    <w:rsid w:val="00933FEE"/>
    <w:rsid w:val="00935509"/>
    <w:rsid w:val="009358AC"/>
    <w:rsid w:val="00936357"/>
    <w:rsid w:val="009366CD"/>
    <w:rsid w:val="0093685D"/>
    <w:rsid w:val="00936C69"/>
    <w:rsid w:val="00937E13"/>
    <w:rsid w:val="0094059D"/>
    <w:rsid w:val="00940665"/>
    <w:rsid w:val="009407B9"/>
    <w:rsid w:val="009407C0"/>
    <w:rsid w:val="00940C58"/>
    <w:rsid w:val="00941089"/>
    <w:rsid w:val="00941166"/>
    <w:rsid w:val="00942014"/>
    <w:rsid w:val="0094270D"/>
    <w:rsid w:val="00942C85"/>
    <w:rsid w:val="0094358E"/>
    <w:rsid w:val="00943920"/>
    <w:rsid w:val="00943ABD"/>
    <w:rsid w:val="00943C93"/>
    <w:rsid w:val="00943F10"/>
    <w:rsid w:val="00944363"/>
    <w:rsid w:val="009444F4"/>
    <w:rsid w:val="00944691"/>
    <w:rsid w:val="0094507D"/>
    <w:rsid w:val="009450A9"/>
    <w:rsid w:val="009450C0"/>
    <w:rsid w:val="009451B3"/>
    <w:rsid w:val="009455BD"/>
    <w:rsid w:val="009459D7"/>
    <w:rsid w:val="00945F24"/>
    <w:rsid w:val="009460B6"/>
    <w:rsid w:val="00946CA4"/>
    <w:rsid w:val="00946E20"/>
    <w:rsid w:val="00946F1D"/>
    <w:rsid w:val="0094758C"/>
    <w:rsid w:val="009478FE"/>
    <w:rsid w:val="009500BE"/>
    <w:rsid w:val="0095032B"/>
    <w:rsid w:val="00951015"/>
    <w:rsid w:val="00951800"/>
    <w:rsid w:val="00951BF9"/>
    <w:rsid w:val="00951E52"/>
    <w:rsid w:val="00951FE1"/>
    <w:rsid w:val="00952629"/>
    <w:rsid w:val="0095280F"/>
    <w:rsid w:val="00952D8A"/>
    <w:rsid w:val="009531EF"/>
    <w:rsid w:val="00953998"/>
    <w:rsid w:val="00953DA4"/>
    <w:rsid w:val="00957270"/>
    <w:rsid w:val="00957D45"/>
    <w:rsid w:val="00960193"/>
    <w:rsid w:val="009604D5"/>
    <w:rsid w:val="009604DA"/>
    <w:rsid w:val="00960567"/>
    <w:rsid w:val="00960C44"/>
    <w:rsid w:val="00960D03"/>
    <w:rsid w:val="0096114C"/>
    <w:rsid w:val="00961320"/>
    <w:rsid w:val="009616DB"/>
    <w:rsid w:val="00961B1F"/>
    <w:rsid w:val="00961D62"/>
    <w:rsid w:val="00961D85"/>
    <w:rsid w:val="0096201B"/>
    <w:rsid w:val="009621F6"/>
    <w:rsid w:val="009623F1"/>
    <w:rsid w:val="00962AEB"/>
    <w:rsid w:val="00962DFB"/>
    <w:rsid w:val="00962E7F"/>
    <w:rsid w:val="00962E83"/>
    <w:rsid w:val="0096326C"/>
    <w:rsid w:val="009635A7"/>
    <w:rsid w:val="00965811"/>
    <w:rsid w:val="00965C4C"/>
    <w:rsid w:val="0096674E"/>
    <w:rsid w:val="009669C7"/>
    <w:rsid w:val="00966ACA"/>
    <w:rsid w:val="00966BB3"/>
    <w:rsid w:val="009677BB"/>
    <w:rsid w:val="00967A56"/>
    <w:rsid w:val="00967B08"/>
    <w:rsid w:val="009705FA"/>
    <w:rsid w:val="0097132C"/>
    <w:rsid w:val="00971727"/>
    <w:rsid w:val="009717EF"/>
    <w:rsid w:val="009718E2"/>
    <w:rsid w:val="00971995"/>
    <w:rsid w:val="00971D88"/>
    <w:rsid w:val="00971FF6"/>
    <w:rsid w:val="00972013"/>
    <w:rsid w:val="009727BA"/>
    <w:rsid w:val="00972C89"/>
    <w:rsid w:val="00972EAD"/>
    <w:rsid w:val="00973735"/>
    <w:rsid w:val="00973F43"/>
    <w:rsid w:val="00973F5B"/>
    <w:rsid w:val="009742BD"/>
    <w:rsid w:val="00974EC0"/>
    <w:rsid w:val="00974F90"/>
    <w:rsid w:val="009756B3"/>
    <w:rsid w:val="0097578C"/>
    <w:rsid w:val="0097598B"/>
    <w:rsid w:val="00975AC0"/>
    <w:rsid w:val="00975B07"/>
    <w:rsid w:val="00975E33"/>
    <w:rsid w:val="00976223"/>
    <w:rsid w:val="00976301"/>
    <w:rsid w:val="00976737"/>
    <w:rsid w:val="00976CBC"/>
    <w:rsid w:val="00977540"/>
    <w:rsid w:val="00977842"/>
    <w:rsid w:val="00977D4D"/>
    <w:rsid w:val="0098064C"/>
    <w:rsid w:val="00980A36"/>
    <w:rsid w:val="0098125E"/>
    <w:rsid w:val="00981819"/>
    <w:rsid w:val="009821AF"/>
    <w:rsid w:val="009822E7"/>
    <w:rsid w:val="0098241D"/>
    <w:rsid w:val="00982A4B"/>
    <w:rsid w:val="009831E4"/>
    <w:rsid w:val="00983445"/>
    <w:rsid w:val="009839AF"/>
    <w:rsid w:val="00984812"/>
    <w:rsid w:val="0098499D"/>
    <w:rsid w:val="00984D10"/>
    <w:rsid w:val="0098552A"/>
    <w:rsid w:val="009856E4"/>
    <w:rsid w:val="0098652C"/>
    <w:rsid w:val="009867D2"/>
    <w:rsid w:val="00986E9F"/>
    <w:rsid w:val="0098711F"/>
    <w:rsid w:val="00987771"/>
    <w:rsid w:val="00987AB9"/>
    <w:rsid w:val="00987FCC"/>
    <w:rsid w:val="009901CB"/>
    <w:rsid w:val="00990C48"/>
    <w:rsid w:val="00990CCB"/>
    <w:rsid w:val="009915D9"/>
    <w:rsid w:val="00991B38"/>
    <w:rsid w:val="009926B8"/>
    <w:rsid w:val="0099295F"/>
    <w:rsid w:val="00992992"/>
    <w:rsid w:val="00992AA8"/>
    <w:rsid w:val="00993AA1"/>
    <w:rsid w:val="00994470"/>
    <w:rsid w:val="009952A1"/>
    <w:rsid w:val="009952A4"/>
    <w:rsid w:val="00995323"/>
    <w:rsid w:val="0099535C"/>
    <w:rsid w:val="00995BC1"/>
    <w:rsid w:val="00997448"/>
    <w:rsid w:val="00997761"/>
    <w:rsid w:val="00997810"/>
    <w:rsid w:val="00997921"/>
    <w:rsid w:val="00997A93"/>
    <w:rsid w:val="00997CAB"/>
    <w:rsid w:val="009A01D7"/>
    <w:rsid w:val="009A17EA"/>
    <w:rsid w:val="009A2EAE"/>
    <w:rsid w:val="009A2F01"/>
    <w:rsid w:val="009A3AC2"/>
    <w:rsid w:val="009A3F5A"/>
    <w:rsid w:val="009A48D5"/>
    <w:rsid w:val="009A4AC7"/>
    <w:rsid w:val="009A4ADB"/>
    <w:rsid w:val="009A4C79"/>
    <w:rsid w:val="009A5618"/>
    <w:rsid w:val="009A5F8E"/>
    <w:rsid w:val="009A61F0"/>
    <w:rsid w:val="009A63E7"/>
    <w:rsid w:val="009A66CE"/>
    <w:rsid w:val="009A6A41"/>
    <w:rsid w:val="009A73DC"/>
    <w:rsid w:val="009A77F2"/>
    <w:rsid w:val="009A77F3"/>
    <w:rsid w:val="009A7C81"/>
    <w:rsid w:val="009B0D80"/>
    <w:rsid w:val="009B11D6"/>
    <w:rsid w:val="009B2597"/>
    <w:rsid w:val="009B26D3"/>
    <w:rsid w:val="009B2A99"/>
    <w:rsid w:val="009B367D"/>
    <w:rsid w:val="009B3D44"/>
    <w:rsid w:val="009B3E12"/>
    <w:rsid w:val="009B40B4"/>
    <w:rsid w:val="009B4138"/>
    <w:rsid w:val="009B4517"/>
    <w:rsid w:val="009B50FC"/>
    <w:rsid w:val="009B5A81"/>
    <w:rsid w:val="009B5BE2"/>
    <w:rsid w:val="009B6146"/>
    <w:rsid w:val="009B61C3"/>
    <w:rsid w:val="009B67E8"/>
    <w:rsid w:val="009B6E39"/>
    <w:rsid w:val="009B72AB"/>
    <w:rsid w:val="009B741F"/>
    <w:rsid w:val="009B7B30"/>
    <w:rsid w:val="009C005D"/>
    <w:rsid w:val="009C04BB"/>
    <w:rsid w:val="009C0855"/>
    <w:rsid w:val="009C1246"/>
    <w:rsid w:val="009C15AC"/>
    <w:rsid w:val="009C1E4A"/>
    <w:rsid w:val="009C2518"/>
    <w:rsid w:val="009C26A2"/>
    <w:rsid w:val="009C28EA"/>
    <w:rsid w:val="009C31FF"/>
    <w:rsid w:val="009C4027"/>
    <w:rsid w:val="009C48EE"/>
    <w:rsid w:val="009C4DFF"/>
    <w:rsid w:val="009C5079"/>
    <w:rsid w:val="009C5276"/>
    <w:rsid w:val="009C5635"/>
    <w:rsid w:val="009C5C9B"/>
    <w:rsid w:val="009C63F4"/>
    <w:rsid w:val="009C684F"/>
    <w:rsid w:val="009C69F7"/>
    <w:rsid w:val="009C7168"/>
    <w:rsid w:val="009C72AF"/>
    <w:rsid w:val="009C72C1"/>
    <w:rsid w:val="009D0FCA"/>
    <w:rsid w:val="009D131A"/>
    <w:rsid w:val="009D1E32"/>
    <w:rsid w:val="009D2D1D"/>
    <w:rsid w:val="009D2F7B"/>
    <w:rsid w:val="009D2FD1"/>
    <w:rsid w:val="009D325E"/>
    <w:rsid w:val="009D343E"/>
    <w:rsid w:val="009D366C"/>
    <w:rsid w:val="009D36BC"/>
    <w:rsid w:val="009D36E3"/>
    <w:rsid w:val="009D39D6"/>
    <w:rsid w:val="009D457E"/>
    <w:rsid w:val="009D4779"/>
    <w:rsid w:val="009D48FF"/>
    <w:rsid w:val="009D49D6"/>
    <w:rsid w:val="009D5216"/>
    <w:rsid w:val="009D566A"/>
    <w:rsid w:val="009D5D53"/>
    <w:rsid w:val="009D5EB7"/>
    <w:rsid w:val="009D5FF0"/>
    <w:rsid w:val="009D6235"/>
    <w:rsid w:val="009D668C"/>
    <w:rsid w:val="009D731A"/>
    <w:rsid w:val="009D7340"/>
    <w:rsid w:val="009D768B"/>
    <w:rsid w:val="009D7B36"/>
    <w:rsid w:val="009D7C33"/>
    <w:rsid w:val="009D7EDE"/>
    <w:rsid w:val="009E1A20"/>
    <w:rsid w:val="009E1F48"/>
    <w:rsid w:val="009E2302"/>
    <w:rsid w:val="009E2721"/>
    <w:rsid w:val="009E2B71"/>
    <w:rsid w:val="009E2E8F"/>
    <w:rsid w:val="009E3259"/>
    <w:rsid w:val="009E3435"/>
    <w:rsid w:val="009E44CE"/>
    <w:rsid w:val="009E525A"/>
    <w:rsid w:val="009E594C"/>
    <w:rsid w:val="009E5E96"/>
    <w:rsid w:val="009E5F41"/>
    <w:rsid w:val="009E60B8"/>
    <w:rsid w:val="009E6A2C"/>
    <w:rsid w:val="009E74CF"/>
    <w:rsid w:val="009E7FA4"/>
    <w:rsid w:val="009F042D"/>
    <w:rsid w:val="009F04B8"/>
    <w:rsid w:val="009F1993"/>
    <w:rsid w:val="009F2211"/>
    <w:rsid w:val="009F2B26"/>
    <w:rsid w:val="009F3165"/>
    <w:rsid w:val="009F3174"/>
    <w:rsid w:val="009F35DF"/>
    <w:rsid w:val="009F3830"/>
    <w:rsid w:val="009F3E74"/>
    <w:rsid w:val="009F45AA"/>
    <w:rsid w:val="009F6564"/>
    <w:rsid w:val="009F65BE"/>
    <w:rsid w:val="009F6874"/>
    <w:rsid w:val="009F78F2"/>
    <w:rsid w:val="009F7A25"/>
    <w:rsid w:val="00A006FA"/>
    <w:rsid w:val="00A00E87"/>
    <w:rsid w:val="00A014AD"/>
    <w:rsid w:val="00A014CE"/>
    <w:rsid w:val="00A01662"/>
    <w:rsid w:val="00A01AEB"/>
    <w:rsid w:val="00A025E9"/>
    <w:rsid w:val="00A02885"/>
    <w:rsid w:val="00A028EE"/>
    <w:rsid w:val="00A03125"/>
    <w:rsid w:val="00A0321D"/>
    <w:rsid w:val="00A03CEB"/>
    <w:rsid w:val="00A03CFA"/>
    <w:rsid w:val="00A066F9"/>
    <w:rsid w:val="00A07C5C"/>
    <w:rsid w:val="00A07D22"/>
    <w:rsid w:val="00A07EC7"/>
    <w:rsid w:val="00A102B5"/>
    <w:rsid w:val="00A105D0"/>
    <w:rsid w:val="00A10AE0"/>
    <w:rsid w:val="00A10B08"/>
    <w:rsid w:val="00A10C5D"/>
    <w:rsid w:val="00A11FB6"/>
    <w:rsid w:val="00A1228B"/>
    <w:rsid w:val="00A12FAD"/>
    <w:rsid w:val="00A138BE"/>
    <w:rsid w:val="00A13930"/>
    <w:rsid w:val="00A13D2B"/>
    <w:rsid w:val="00A14964"/>
    <w:rsid w:val="00A14CC6"/>
    <w:rsid w:val="00A14DDB"/>
    <w:rsid w:val="00A15077"/>
    <w:rsid w:val="00A15AB2"/>
    <w:rsid w:val="00A175F7"/>
    <w:rsid w:val="00A17739"/>
    <w:rsid w:val="00A17AEB"/>
    <w:rsid w:val="00A17D17"/>
    <w:rsid w:val="00A17D4A"/>
    <w:rsid w:val="00A17F5C"/>
    <w:rsid w:val="00A17FA1"/>
    <w:rsid w:val="00A20892"/>
    <w:rsid w:val="00A20A66"/>
    <w:rsid w:val="00A215C7"/>
    <w:rsid w:val="00A22021"/>
    <w:rsid w:val="00A2273B"/>
    <w:rsid w:val="00A22D05"/>
    <w:rsid w:val="00A233E0"/>
    <w:rsid w:val="00A237A0"/>
    <w:rsid w:val="00A23D8D"/>
    <w:rsid w:val="00A24769"/>
    <w:rsid w:val="00A24858"/>
    <w:rsid w:val="00A24B9F"/>
    <w:rsid w:val="00A24C4D"/>
    <w:rsid w:val="00A24EFD"/>
    <w:rsid w:val="00A24F8D"/>
    <w:rsid w:val="00A252CB"/>
    <w:rsid w:val="00A2532B"/>
    <w:rsid w:val="00A253EE"/>
    <w:rsid w:val="00A25DD7"/>
    <w:rsid w:val="00A264DB"/>
    <w:rsid w:val="00A26667"/>
    <w:rsid w:val="00A26DB3"/>
    <w:rsid w:val="00A278CF"/>
    <w:rsid w:val="00A27B0D"/>
    <w:rsid w:val="00A30131"/>
    <w:rsid w:val="00A3067B"/>
    <w:rsid w:val="00A3067F"/>
    <w:rsid w:val="00A30902"/>
    <w:rsid w:val="00A30C1F"/>
    <w:rsid w:val="00A31C04"/>
    <w:rsid w:val="00A31E86"/>
    <w:rsid w:val="00A3267A"/>
    <w:rsid w:val="00A32695"/>
    <w:rsid w:val="00A32A7B"/>
    <w:rsid w:val="00A33254"/>
    <w:rsid w:val="00A3427D"/>
    <w:rsid w:val="00A34BEF"/>
    <w:rsid w:val="00A34CF0"/>
    <w:rsid w:val="00A34DBD"/>
    <w:rsid w:val="00A34E10"/>
    <w:rsid w:val="00A354D0"/>
    <w:rsid w:val="00A354FE"/>
    <w:rsid w:val="00A35C17"/>
    <w:rsid w:val="00A36D84"/>
    <w:rsid w:val="00A36F74"/>
    <w:rsid w:val="00A40052"/>
    <w:rsid w:val="00A40216"/>
    <w:rsid w:val="00A4090D"/>
    <w:rsid w:val="00A41086"/>
    <w:rsid w:val="00A4139E"/>
    <w:rsid w:val="00A415C1"/>
    <w:rsid w:val="00A4176F"/>
    <w:rsid w:val="00A426A4"/>
    <w:rsid w:val="00A43862"/>
    <w:rsid w:val="00A43883"/>
    <w:rsid w:val="00A43B83"/>
    <w:rsid w:val="00A43CAB"/>
    <w:rsid w:val="00A44C17"/>
    <w:rsid w:val="00A44EF3"/>
    <w:rsid w:val="00A44FF5"/>
    <w:rsid w:val="00A4657F"/>
    <w:rsid w:val="00A46580"/>
    <w:rsid w:val="00A4695A"/>
    <w:rsid w:val="00A4755B"/>
    <w:rsid w:val="00A50A4E"/>
    <w:rsid w:val="00A50C21"/>
    <w:rsid w:val="00A51A81"/>
    <w:rsid w:val="00A523DF"/>
    <w:rsid w:val="00A52418"/>
    <w:rsid w:val="00A52789"/>
    <w:rsid w:val="00A52A7D"/>
    <w:rsid w:val="00A53692"/>
    <w:rsid w:val="00A53FD3"/>
    <w:rsid w:val="00A54D67"/>
    <w:rsid w:val="00A54E20"/>
    <w:rsid w:val="00A553A0"/>
    <w:rsid w:val="00A55611"/>
    <w:rsid w:val="00A5590F"/>
    <w:rsid w:val="00A5597F"/>
    <w:rsid w:val="00A5651E"/>
    <w:rsid w:val="00A56532"/>
    <w:rsid w:val="00A5656B"/>
    <w:rsid w:val="00A56FEB"/>
    <w:rsid w:val="00A606B6"/>
    <w:rsid w:val="00A60C6D"/>
    <w:rsid w:val="00A619A4"/>
    <w:rsid w:val="00A62A42"/>
    <w:rsid w:val="00A63190"/>
    <w:rsid w:val="00A64203"/>
    <w:rsid w:val="00A64642"/>
    <w:rsid w:val="00A64DDA"/>
    <w:rsid w:val="00A667F3"/>
    <w:rsid w:val="00A66929"/>
    <w:rsid w:val="00A66B0B"/>
    <w:rsid w:val="00A66E7C"/>
    <w:rsid w:val="00A7058D"/>
    <w:rsid w:val="00A7071C"/>
    <w:rsid w:val="00A7106C"/>
    <w:rsid w:val="00A7118B"/>
    <w:rsid w:val="00A719B8"/>
    <w:rsid w:val="00A71C43"/>
    <w:rsid w:val="00A71F79"/>
    <w:rsid w:val="00A720D9"/>
    <w:rsid w:val="00A72767"/>
    <w:rsid w:val="00A72A1D"/>
    <w:rsid w:val="00A72E4C"/>
    <w:rsid w:val="00A72E5A"/>
    <w:rsid w:val="00A73247"/>
    <w:rsid w:val="00A73344"/>
    <w:rsid w:val="00A73DB2"/>
    <w:rsid w:val="00A740D1"/>
    <w:rsid w:val="00A74414"/>
    <w:rsid w:val="00A747AE"/>
    <w:rsid w:val="00A74F74"/>
    <w:rsid w:val="00A751B7"/>
    <w:rsid w:val="00A76C19"/>
    <w:rsid w:val="00A77425"/>
    <w:rsid w:val="00A77531"/>
    <w:rsid w:val="00A77F16"/>
    <w:rsid w:val="00A8011C"/>
    <w:rsid w:val="00A804E3"/>
    <w:rsid w:val="00A8075D"/>
    <w:rsid w:val="00A81C68"/>
    <w:rsid w:val="00A81D85"/>
    <w:rsid w:val="00A82102"/>
    <w:rsid w:val="00A8221D"/>
    <w:rsid w:val="00A8225D"/>
    <w:rsid w:val="00A82FD7"/>
    <w:rsid w:val="00A8311C"/>
    <w:rsid w:val="00A832EC"/>
    <w:rsid w:val="00A83574"/>
    <w:rsid w:val="00A835BE"/>
    <w:rsid w:val="00A84A49"/>
    <w:rsid w:val="00A84E62"/>
    <w:rsid w:val="00A851CE"/>
    <w:rsid w:val="00A859C9"/>
    <w:rsid w:val="00A86864"/>
    <w:rsid w:val="00A8762F"/>
    <w:rsid w:val="00A878AD"/>
    <w:rsid w:val="00A87CF2"/>
    <w:rsid w:val="00A90D7D"/>
    <w:rsid w:val="00A90E51"/>
    <w:rsid w:val="00A910A4"/>
    <w:rsid w:val="00A9131C"/>
    <w:rsid w:val="00A9170D"/>
    <w:rsid w:val="00A91CD7"/>
    <w:rsid w:val="00A920A1"/>
    <w:rsid w:val="00A92142"/>
    <w:rsid w:val="00A92B52"/>
    <w:rsid w:val="00A92BC2"/>
    <w:rsid w:val="00A92DF8"/>
    <w:rsid w:val="00A93096"/>
    <w:rsid w:val="00A93719"/>
    <w:rsid w:val="00A93E68"/>
    <w:rsid w:val="00A94365"/>
    <w:rsid w:val="00A95467"/>
    <w:rsid w:val="00A95716"/>
    <w:rsid w:val="00A9638B"/>
    <w:rsid w:val="00A97D4A"/>
    <w:rsid w:val="00A97E92"/>
    <w:rsid w:val="00AA126F"/>
    <w:rsid w:val="00AA345C"/>
    <w:rsid w:val="00AA3941"/>
    <w:rsid w:val="00AA4235"/>
    <w:rsid w:val="00AA4998"/>
    <w:rsid w:val="00AA4B4C"/>
    <w:rsid w:val="00AA4FB5"/>
    <w:rsid w:val="00AA55F4"/>
    <w:rsid w:val="00AA57BB"/>
    <w:rsid w:val="00AA6286"/>
    <w:rsid w:val="00AA69EE"/>
    <w:rsid w:val="00AA742B"/>
    <w:rsid w:val="00AA75E9"/>
    <w:rsid w:val="00AA7A45"/>
    <w:rsid w:val="00AB04A4"/>
    <w:rsid w:val="00AB07F3"/>
    <w:rsid w:val="00AB0A10"/>
    <w:rsid w:val="00AB190B"/>
    <w:rsid w:val="00AB1BDF"/>
    <w:rsid w:val="00AB1E8B"/>
    <w:rsid w:val="00AB298C"/>
    <w:rsid w:val="00AB2F69"/>
    <w:rsid w:val="00AB34CF"/>
    <w:rsid w:val="00AB3945"/>
    <w:rsid w:val="00AB3E51"/>
    <w:rsid w:val="00AB421B"/>
    <w:rsid w:val="00AB44D7"/>
    <w:rsid w:val="00AB45AF"/>
    <w:rsid w:val="00AB47ED"/>
    <w:rsid w:val="00AB5C19"/>
    <w:rsid w:val="00AB5F44"/>
    <w:rsid w:val="00AB6E4A"/>
    <w:rsid w:val="00AB7339"/>
    <w:rsid w:val="00AB75DE"/>
    <w:rsid w:val="00AB7FF3"/>
    <w:rsid w:val="00AC0376"/>
    <w:rsid w:val="00AC0B23"/>
    <w:rsid w:val="00AC0E32"/>
    <w:rsid w:val="00AC15EE"/>
    <w:rsid w:val="00AC174E"/>
    <w:rsid w:val="00AC1A00"/>
    <w:rsid w:val="00AC1E0F"/>
    <w:rsid w:val="00AC276D"/>
    <w:rsid w:val="00AC31C8"/>
    <w:rsid w:val="00AC37DF"/>
    <w:rsid w:val="00AC44E1"/>
    <w:rsid w:val="00AC473E"/>
    <w:rsid w:val="00AC4A40"/>
    <w:rsid w:val="00AC56F6"/>
    <w:rsid w:val="00AC5AAD"/>
    <w:rsid w:val="00AC6436"/>
    <w:rsid w:val="00AC64D1"/>
    <w:rsid w:val="00AC6A41"/>
    <w:rsid w:val="00AC6B5B"/>
    <w:rsid w:val="00AC6EF3"/>
    <w:rsid w:val="00AC6FB1"/>
    <w:rsid w:val="00AC73CC"/>
    <w:rsid w:val="00AC7739"/>
    <w:rsid w:val="00AC7AA3"/>
    <w:rsid w:val="00AC7C56"/>
    <w:rsid w:val="00AC7CEB"/>
    <w:rsid w:val="00AD046D"/>
    <w:rsid w:val="00AD0C39"/>
    <w:rsid w:val="00AD13B9"/>
    <w:rsid w:val="00AD1E41"/>
    <w:rsid w:val="00AD1FCE"/>
    <w:rsid w:val="00AD250B"/>
    <w:rsid w:val="00AD2D3C"/>
    <w:rsid w:val="00AD2EDD"/>
    <w:rsid w:val="00AD30E7"/>
    <w:rsid w:val="00AD31F0"/>
    <w:rsid w:val="00AD391E"/>
    <w:rsid w:val="00AD3C1C"/>
    <w:rsid w:val="00AD4395"/>
    <w:rsid w:val="00AD47A9"/>
    <w:rsid w:val="00AD4C93"/>
    <w:rsid w:val="00AD4D79"/>
    <w:rsid w:val="00AD51F2"/>
    <w:rsid w:val="00AD5264"/>
    <w:rsid w:val="00AD5D57"/>
    <w:rsid w:val="00AD624D"/>
    <w:rsid w:val="00AD6544"/>
    <w:rsid w:val="00AD6F1D"/>
    <w:rsid w:val="00AE03EF"/>
    <w:rsid w:val="00AE05D8"/>
    <w:rsid w:val="00AE0F30"/>
    <w:rsid w:val="00AE0FB8"/>
    <w:rsid w:val="00AE1C2A"/>
    <w:rsid w:val="00AE1E72"/>
    <w:rsid w:val="00AE1EAD"/>
    <w:rsid w:val="00AE22EC"/>
    <w:rsid w:val="00AE2895"/>
    <w:rsid w:val="00AE5636"/>
    <w:rsid w:val="00AE5C70"/>
    <w:rsid w:val="00AE6241"/>
    <w:rsid w:val="00AE6955"/>
    <w:rsid w:val="00AE74A1"/>
    <w:rsid w:val="00AE776E"/>
    <w:rsid w:val="00AF037D"/>
    <w:rsid w:val="00AF0397"/>
    <w:rsid w:val="00AF0A5E"/>
    <w:rsid w:val="00AF1C6F"/>
    <w:rsid w:val="00AF1F30"/>
    <w:rsid w:val="00AF24D1"/>
    <w:rsid w:val="00AF2FB0"/>
    <w:rsid w:val="00AF2FF8"/>
    <w:rsid w:val="00AF3DDB"/>
    <w:rsid w:val="00AF5D33"/>
    <w:rsid w:val="00AF6146"/>
    <w:rsid w:val="00AF6543"/>
    <w:rsid w:val="00AF67D6"/>
    <w:rsid w:val="00AF7319"/>
    <w:rsid w:val="00B00264"/>
    <w:rsid w:val="00B00392"/>
    <w:rsid w:val="00B0059A"/>
    <w:rsid w:val="00B007C7"/>
    <w:rsid w:val="00B0118F"/>
    <w:rsid w:val="00B011D2"/>
    <w:rsid w:val="00B01997"/>
    <w:rsid w:val="00B01BE4"/>
    <w:rsid w:val="00B02210"/>
    <w:rsid w:val="00B023EA"/>
    <w:rsid w:val="00B02666"/>
    <w:rsid w:val="00B026F5"/>
    <w:rsid w:val="00B029E2"/>
    <w:rsid w:val="00B02B8C"/>
    <w:rsid w:val="00B03631"/>
    <w:rsid w:val="00B038B0"/>
    <w:rsid w:val="00B03EE4"/>
    <w:rsid w:val="00B049D3"/>
    <w:rsid w:val="00B05317"/>
    <w:rsid w:val="00B05F9B"/>
    <w:rsid w:val="00B06226"/>
    <w:rsid w:val="00B068CF"/>
    <w:rsid w:val="00B06A2D"/>
    <w:rsid w:val="00B06FD5"/>
    <w:rsid w:val="00B07652"/>
    <w:rsid w:val="00B07BDE"/>
    <w:rsid w:val="00B07D04"/>
    <w:rsid w:val="00B1017F"/>
    <w:rsid w:val="00B1049E"/>
    <w:rsid w:val="00B11118"/>
    <w:rsid w:val="00B114BB"/>
    <w:rsid w:val="00B11CEA"/>
    <w:rsid w:val="00B1297B"/>
    <w:rsid w:val="00B12D9D"/>
    <w:rsid w:val="00B1338A"/>
    <w:rsid w:val="00B13416"/>
    <w:rsid w:val="00B1412B"/>
    <w:rsid w:val="00B14630"/>
    <w:rsid w:val="00B15087"/>
    <w:rsid w:val="00B151D6"/>
    <w:rsid w:val="00B163C8"/>
    <w:rsid w:val="00B1751A"/>
    <w:rsid w:val="00B1783E"/>
    <w:rsid w:val="00B179E5"/>
    <w:rsid w:val="00B20277"/>
    <w:rsid w:val="00B21218"/>
    <w:rsid w:val="00B21974"/>
    <w:rsid w:val="00B21AFD"/>
    <w:rsid w:val="00B21D25"/>
    <w:rsid w:val="00B21F32"/>
    <w:rsid w:val="00B224A1"/>
    <w:rsid w:val="00B22EF8"/>
    <w:rsid w:val="00B23840"/>
    <w:rsid w:val="00B23D2D"/>
    <w:rsid w:val="00B244C6"/>
    <w:rsid w:val="00B24734"/>
    <w:rsid w:val="00B25A21"/>
    <w:rsid w:val="00B260FA"/>
    <w:rsid w:val="00B26283"/>
    <w:rsid w:val="00B26B9F"/>
    <w:rsid w:val="00B27010"/>
    <w:rsid w:val="00B2715B"/>
    <w:rsid w:val="00B27955"/>
    <w:rsid w:val="00B27FD0"/>
    <w:rsid w:val="00B27FD4"/>
    <w:rsid w:val="00B30599"/>
    <w:rsid w:val="00B30926"/>
    <w:rsid w:val="00B31256"/>
    <w:rsid w:val="00B31468"/>
    <w:rsid w:val="00B316F7"/>
    <w:rsid w:val="00B31F0F"/>
    <w:rsid w:val="00B328F3"/>
    <w:rsid w:val="00B32E9B"/>
    <w:rsid w:val="00B336C3"/>
    <w:rsid w:val="00B3376E"/>
    <w:rsid w:val="00B33872"/>
    <w:rsid w:val="00B33A3F"/>
    <w:rsid w:val="00B33A66"/>
    <w:rsid w:val="00B340F5"/>
    <w:rsid w:val="00B341E0"/>
    <w:rsid w:val="00B34DB2"/>
    <w:rsid w:val="00B361D0"/>
    <w:rsid w:val="00B36B20"/>
    <w:rsid w:val="00B36B3B"/>
    <w:rsid w:val="00B37092"/>
    <w:rsid w:val="00B37790"/>
    <w:rsid w:val="00B37A12"/>
    <w:rsid w:val="00B40565"/>
    <w:rsid w:val="00B40E33"/>
    <w:rsid w:val="00B415AD"/>
    <w:rsid w:val="00B41610"/>
    <w:rsid w:val="00B418DF"/>
    <w:rsid w:val="00B41E72"/>
    <w:rsid w:val="00B42D3C"/>
    <w:rsid w:val="00B43868"/>
    <w:rsid w:val="00B43BA0"/>
    <w:rsid w:val="00B445E1"/>
    <w:rsid w:val="00B44D7E"/>
    <w:rsid w:val="00B45744"/>
    <w:rsid w:val="00B463C8"/>
    <w:rsid w:val="00B46A08"/>
    <w:rsid w:val="00B46F15"/>
    <w:rsid w:val="00B47379"/>
    <w:rsid w:val="00B47382"/>
    <w:rsid w:val="00B473E1"/>
    <w:rsid w:val="00B47507"/>
    <w:rsid w:val="00B47979"/>
    <w:rsid w:val="00B47DDC"/>
    <w:rsid w:val="00B500FA"/>
    <w:rsid w:val="00B506F1"/>
    <w:rsid w:val="00B5086B"/>
    <w:rsid w:val="00B50A59"/>
    <w:rsid w:val="00B50B89"/>
    <w:rsid w:val="00B510CA"/>
    <w:rsid w:val="00B51644"/>
    <w:rsid w:val="00B5185B"/>
    <w:rsid w:val="00B52AD9"/>
    <w:rsid w:val="00B52D06"/>
    <w:rsid w:val="00B53828"/>
    <w:rsid w:val="00B53C2A"/>
    <w:rsid w:val="00B5435C"/>
    <w:rsid w:val="00B5476C"/>
    <w:rsid w:val="00B55146"/>
    <w:rsid w:val="00B5537B"/>
    <w:rsid w:val="00B5538A"/>
    <w:rsid w:val="00B56882"/>
    <w:rsid w:val="00B56B6A"/>
    <w:rsid w:val="00B579B6"/>
    <w:rsid w:val="00B57B0E"/>
    <w:rsid w:val="00B57B70"/>
    <w:rsid w:val="00B57FC0"/>
    <w:rsid w:val="00B608AE"/>
    <w:rsid w:val="00B61542"/>
    <w:rsid w:val="00B617BE"/>
    <w:rsid w:val="00B61D89"/>
    <w:rsid w:val="00B61F54"/>
    <w:rsid w:val="00B626C1"/>
    <w:rsid w:val="00B6285B"/>
    <w:rsid w:val="00B6340B"/>
    <w:rsid w:val="00B63566"/>
    <w:rsid w:val="00B64049"/>
    <w:rsid w:val="00B644DE"/>
    <w:rsid w:val="00B64A3C"/>
    <w:rsid w:val="00B653FF"/>
    <w:rsid w:val="00B656E8"/>
    <w:rsid w:val="00B6639F"/>
    <w:rsid w:val="00B670B3"/>
    <w:rsid w:val="00B6791C"/>
    <w:rsid w:val="00B67EBB"/>
    <w:rsid w:val="00B7043D"/>
    <w:rsid w:val="00B704B8"/>
    <w:rsid w:val="00B70BB6"/>
    <w:rsid w:val="00B73198"/>
    <w:rsid w:val="00B73243"/>
    <w:rsid w:val="00B7325D"/>
    <w:rsid w:val="00B73B61"/>
    <w:rsid w:val="00B73CB6"/>
    <w:rsid w:val="00B74499"/>
    <w:rsid w:val="00B7475C"/>
    <w:rsid w:val="00B74F90"/>
    <w:rsid w:val="00B7589E"/>
    <w:rsid w:val="00B7647F"/>
    <w:rsid w:val="00B76845"/>
    <w:rsid w:val="00B77C5B"/>
    <w:rsid w:val="00B804A7"/>
    <w:rsid w:val="00B805BD"/>
    <w:rsid w:val="00B80653"/>
    <w:rsid w:val="00B808C6"/>
    <w:rsid w:val="00B80A06"/>
    <w:rsid w:val="00B80B91"/>
    <w:rsid w:val="00B80BA0"/>
    <w:rsid w:val="00B80CDF"/>
    <w:rsid w:val="00B811E6"/>
    <w:rsid w:val="00B81BC5"/>
    <w:rsid w:val="00B81C4E"/>
    <w:rsid w:val="00B82883"/>
    <w:rsid w:val="00B82924"/>
    <w:rsid w:val="00B83105"/>
    <w:rsid w:val="00B83487"/>
    <w:rsid w:val="00B84B2D"/>
    <w:rsid w:val="00B857FA"/>
    <w:rsid w:val="00B85BF9"/>
    <w:rsid w:val="00B85CFD"/>
    <w:rsid w:val="00B85EB6"/>
    <w:rsid w:val="00B860F6"/>
    <w:rsid w:val="00B86124"/>
    <w:rsid w:val="00B8620D"/>
    <w:rsid w:val="00B86630"/>
    <w:rsid w:val="00B86790"/>
    <w:rsid w:val="00B86BBC"/>
    <w:rsid w:val="00B86F6C"/>
    <w:rsid w:val="00B8788F"/>
    <w:rsid w:val="00B8796A"/>
    <w:rsid w:val="00B87B1B"/>
    <w:rsid w:val="00B87EEB"/>
    <w:rsid w:val="00B9047A"/>
    <w:rsid w:val="00B905C4"/>
    <w:rsid w:val="00B90F62"/>
    <w:rsid w:val="00B90FD3"/>
    <w:rsid w:val="00B91223"/>
    <w:rsid w:val="00B91871"/>
    <w:rsid w:val="00B918BA"/>
    <w:rsid w:val="00B91ABE"/>
    <w:rsid w:val="00B91F84"/>
    <w:rsid w:val="00B92212"/>
    <w:rsid w:val="00B9274A"/>
    <w:rsid w:val="00B92A1C"/>
    <w:rsid w:val="00B93063"/>
    <w:rsid w:val="00B9308D"/>
    <w:rsid w:val="00B93531"/>
    <w:rsid w:val="00B93723"/>
    <w:rsid w:val="00B94702"/>
    <w:rsid w:val="00B947E4"/>
    <w:rsid w:val="00B9515A"/>
    <w:rsid w:val="00B95567"/>
    <w:rsid w:val="00B96170"/>
    <w:rsid w:val="00B962E2"/>
    <w:rsid w:val="00B971EF"/>
    <w:rsid w:val="00BA0060"/>
    <w:rsid w:val="00BA0981"/>
    <w:rsid w:val="00BA0F54"/>
    <w:rsid w:val="00BA16D5"/>
    <w:rsid w:val="00BA1B72"/>
    <w:rsid w:val="00BA1FDF"/>
    <w:rsid w:val="00BA304B"/>
    <w:rsid w:val="00BA3289"/>
    <w:rsid w:val="00BA380D"/>
    <w:rsid w:val="00BA448D"/>
    <w:rsid w:val="00BA4F87"/>
    <w:rsid w:val="00BA50EF"/>
    <w:rsid w:val="00BA5992"/>
    <w:rsid w:val="00BA59DA"/>
    <w:rsid w:val="00BA603F"/>
    <w:rsid w:val="00BA69C8"/>
    <w:rsid w:val="00BA6ECF"/>
    <w:rsid w:val="00BA7715"/>
    <w:rsid w:val="00BB03D9"/>
    <w:rsid w:val="00BB0CF0"/>
    <w:rsid w:val="00BB135C"/>
    <w:rsid w:val="00BB2057"/>
    <w:rsid w:val="00BB27C0"/>
    <w:rsid w:val="00BB292E"/>
    <w:rsid w:val="00BB32D0"/>
    <w:rsid w:val="00BB3ABF"/>
    <w:rsid w:val="00BB5034"/>
    <w:rsid w:val="00BB548C"/>
    <w:rsid w:val="00BB608B"/>
    <w:rsid w:val="00BB6682"/>
    <w:rsid w:val="00BB75DC"/>
    <w:rsid w:val="00BB7730"/>
    <w:rsid w:val="00BB7AC9"/>
    <w:rsid w:val="00BC044C"/>
    <w:rsid w:val="00BC0585"/>
    <w:rsid w:val="00BC06D7"/>
    <w:rsid w:val="00BC1A2F"/>
    <w:rsid w:val="00BC202E"/>
    <w:rsid w:val="00BC260C"/>
    <w:rsid w:val="00BC2EC8"/>
    <w:rsid w:val="00BC3665"/>
    <w:rsid w:val="00BC4C01"/>
    <w:rsid w:val="00BC4D4C"/>
    <w:rsid w:val="00BC550B"/>
    <w:rsid w:val="00BC5A1E"/>
    <w:rsid w:val="00BC6B09"/>
    <w:rsid w:val="00BC6EE0"/>
    <w:rsid w:val="00BC7CE3"/>
    <w:rsid w:val="00BD04E6"/>
    <w:rsid w:val="00BD1173"/>
    <w:rsid w:val="00BD1461"/>
    <w:rsid w:val="00BD16DD"/>
    <w:rsid w:val="00BD1CFE"/>
    <w:rsid w:val="00BD295B"/>
    <w:rsid w:val="00BD2A2A"/>
    <w:rsid w:val="00BD2A55"/>
    <w:rsid w:val="00BD3853"/>
    <w:rsid w:val="00BD451B"/>
    <w:rsid w:val="00BD4B9C"/>
    <w:rsid w:val="00BD6BE3"/>
    <w:rsid w:val="00BD6BFC"/>
    <w:rsid w:val="00BD7C27"/>
    <w:rsid w:val="00BE0123"/>
    <w:rsid w:val="00BE026D"/>
    <w:rsid w:val="00BE0E59"/>
    <w:rsid w:val="00BE12F3"/>
    <w:rsid w:val="00BE14A9"/>
    <w:rsid w:val="00BE19EA"/>
    <w:rsid w:val="00BE2064"/>
    <w:rsid w:val="00BE241D"/>
    <w:rsid w:val="00BE3884"/>
    <w:rsid w:val="00BE3DBD"/>
    <w:rsid w:val="00BE4123"/>
    <w:rsid w:val="00BE4973"/>
    <w:rsid w:val="00BE4F8D"/>
    <w:rsid w:val="00BE58E9"/>
    <w:rsid w:val="00BE608E"/>
    <w:rsid w:val="00BE6398"/>
    <w:rsid w:val="00BE643A"/>
    <w:rsid w:val="00BE649A"/>
    <w:rsid w:val="00BE65C7"/>
    <w:rsid w:val="00BE7400"/>
    <w:rsid w:val="00BE7515"/>
    <w:rsid w:val="00BE7EB3"/>
    <w:rsid w:val="00BF074D"/>
    <w:rsid w:val="00BF0D8F"/>
    <w:rsid w:val="00BF0E1F"/>
    <w:rsid w:val="00BF1E9C"/>
    <w:rsid w:val="00BF24F9"/>
    <w:rsid w:val="00BF27B7"/>
    <w:rsid w:val="00BF2BD5"/>
    <w:rsid w:val="00BF2C71"/>
    <w:rsid w:val="00BF301D"/>
    <w:rsid w:val="00BF399F"/>
    <w:rsid w:val="00BF4516"/>
    <w:rsid w:val="00BF4806"/>
    <w:rsid w:val="00BF4A87"/>
    <w:rsid w:val="00BF4D94"/>
    <w:rsid w:val="00BF586D"/>
    <w:rsid w:val="00BF5E18"/>
    <w:rsid w:val="00BF621A"/>
    <w:rsid w:val="00BF65A1"/>
    <w:rsid w:val="00BF6B18"/>
    <w:rsid w:val="00BF6CD7"/>
    <w:rsid w:val="00BF70EB"/>
    <w:rsid w:val="00C00012"/>
    <w:rsid w:val="00C013A3"/>
    <w:rsid w:val="00C01BDB"/>
    <w:rsid w:val="00C01C6E"/>
    <w:rsid w:val="00C02947"/>
    <w:rsid w:val="00C02C56"/>
    <w:rsid w:val="00C0301E"/>
    <w:rsid w:val="00C03235"/>
    <w:rsid w:val="00C0405B"/>
    <w:rsid w:val="00C04157"/>
    <w:rsid w:val="00C041AF"/>
    <w:rsid w:val="00C0474C"/>
    <w:rsid w:val="00C04967"/>
    <w:rsid w:val="00C04F09"/>
    <w:rsid w:val="00C05D26"/>
    <w:rsid w:val="00C070B9"/>
    <w:rsid w:val="00C1018D"/>
    <w:rsid w:val="00C1106E"/>
    <w:rsid w:val="00C120CF"/>
    <w:rsid w:val="00C13852"/>
    <w:rsid w:val="00C13B12"/>
    <w:rsid w:val="00C13E92"/>
    <w:rsid w:val="00C143CA"/>
    <w:rsid w:val="00C14501"/>
    <w:rsid w:val="00C14C10"/>
    <w:rsid w:val="00C1509A"/>
    <w:rsid w:val="00C157B1"/>
    <w:rsid w:val="00C161F8"/>
    <w:rsid w:val="00C164AE"/>
    <w:rsid w:val="00C171BB"/>
    <w:rsid w:val="00C17920"/>
    <w:rsid w:val="00C179DF"/>
    <w:rsid w:val="00C17A6F"/>
    <w:rsid w:val="00C17B98"/>
    <w:rsid w:val="00C17FC1"/>
    <w:rsid w:val="00C2014C"/>
    <w:rsid w:val="00C2186E"/>
    <w:rsid w:val="00C21AC0"/>
    <w:rsid w:val="00C21C97"/>
    <w:rsid w:val="00C21CBC"/>
    <w:rsid w:val="00C21EE1"/>
    <w:rsid w:val="00C22AB1"/>
    <w:rsid w:val="00C23107"/>
    <w:rsid w:val="00C239B8"/>
    <w:rsid w:val="00C23AA0"/>
    <w:rsid w:val="00C23CD2"/>
    <w:rsid w:val="00C243E7"/>
    <w:rsid w:val="00C24426"/>
    <w:rsid w:val="00C2493B"/>
    <w:rsid w:val="00C24C2A"/>
    <w:rsid w:val="00C250A1"/>
    <w:rsid w:val="00C2519E"/>
    <w:rsid w:val="00C25228"/>
    <w:rsid w:val="00C25EE8"/>
    <w:rsid w:val="00C26373"/>
    <w:rsid w:val="00C263D3"/>
    <w:rsid w:val="00C26774"/>
    <w:rsid w:val="00C268BA"/>
    <w:rsid w:val="00C26FCB"/>
    <w:rsid w:val="00C300AC"/>
    <w:rsid w:val="00C30700"/>
    <w:rsid w:val="00C309B1"/>
    <w:rsid w:val="00C310D8"/>
    <w:rsid w:val="00C312B1"/>
    <w:rsid w:val="00C31969"/>
    <w:rsid w:val="00C31E31"/>
    <w:rsid w:val="00C3204A"/>
    <w:rsid w:val="00C32543"/>
    <w:rsid w:val="00C32B74"/>
    <w:rsid w:val="00C32E69"/>
    <w:rsid w:val="00C32FB9"/>
    <w:rsid w:val="00C330A4"/>
    <w:rsid w:val="00C332FB"/>
    <w:rsid w:val="00C337A4"/>
    <w:rsid w:val="00C339E0"/>
    <w:rsid w:val="00C33A01"/>
    <w:rsid w:val="00C33CA5"/>
    <w:rsid w:val="00C33CDB"/>
    <w:rsid w:val="00C3410C"/>
    <w:rsid w:val="00C3430A"/>
    <w:rsid w:val="00C34558"/>
    <w:rsid w:val="00C34AC0"/>
    <w:rsid w:val="00C34B65"/>
    <w:rsid w:val="00C3502D"/>
    <w:rsid w:val="00C362C0"/>
    <w:rsid w:val="00C37784"/>
    <w:rsid w:val="00C37E12"/>
    <w:rsid w:val="00C4036D"/>
    <w:rsid w:val="00C40E98"/>
    <w:rsid w:val="00C41136"/>
    <w:rsid w:val="00C4120C"/>
    <w:rsid w:val="00C413FB"/>
    <w:rsid w:val="00C41C75"/>
    <w:rsid w:val="00C421E4"/>
    <w:rsid w:val="00C4281F"/>
    <w:rsid w:val="00C429AC"/>
    <w:rsid w:val="00C42C82"/>
    <w:rsid w:val="00C42D57"/>
    <w:rsid w:val="00C44478"/>
    <w:rsid w:val="00C44DF4"/>
    <w:rsid w:val="00C44FCF"/>
    <w:rsid w:val="00C45214"/>
    <w:rsid w:val="00C467F8"/>
    <w:rsid w:val="00C46938"/>
    <w:rsid w:val="00C469C4"/>
    <w:rsid w:val="00C46D8B"/>
    <w:rsid w:val="00C470D9"/>
    <w:rsid w:val="00C47A89"/>
    <w:rsid w:val="00C47BAA"/>
    <w:rsid w:val="00C47C7F"/>
    <w:rsid w:val="00C47EB1"/>
    <w:rsid w:val="00C5120A"/>
    <w:rsid w:val="00C51C93"/>
    <w:rsid w:val="00C51D28"/>
    <w:rsid w:val="00C51EF4"/>
    <w:rsid w:val="00C51FE1"/>
    <w:rsid w:val="00C52210"/>
    <w:rsid w:val="00C5269A"/>
    <w:rsid w:val="00C526BD"/>
    <w:rsid w:val="00C53454"/>
    <w:rsid w:val="00C53C7D"/>
    <w:rsid w:val="00C54730"/>
    <w:rsid w:val="00C55206"/>
    <w:rsid w:val="00C55634"/>
    <w:rsid w:val="00C5568E"/>
    <w:rsid w:val="00C557DD"/>
    <w:rsid w:val="00C55A9C"/>
    <w:rsid w:val="00C56099"/>
    <w:rsid w:val="00C56FA3"/>
    <w:rsid w:val="00C570FC"/>
    <w:rsid w:val="00C57B0E"/>
    <w:rsid w:val="00C6049E"/>
    <w:rsid w:val="00C608A2"/>
    <w:rsid w:val="00C61207"/>
    <w:rsid w:val="00C61759"/>
    <w:rsid w:val="00C61D8C"/>
    <w:rsid w:val="00C61E78"/>
    <w:rsid w:val="00C61F51"/>
    <w:rsid w:val="00C62A1F"/>
    <w:rsid w:val="00C63A4F"/>
    <w:rsid w:val="00C6403F"/>
    <w:rsid w:val="00C640E1"/>
    <w:rsid w:val="00C64683"/>
    <w:rsid w:val="00C64C6E"/>
    <w:rsid w:val="00C6519C"/>
    <w:rsid w:val="00C65721"/>
    <w:rsid w:val="00C671CB"/>
    <w:rsid w:val="00C677D4"/>
    <w:rsid w:val="00C67C7E"/>
    <w:rsid w:val="00C67F2A"/>
    <w:rsid w:val="00C67F4F"/>
    <w:rsid w:val="00C67F69"/>
    <w:rsid w:val="00C67FCD"/>
    <w:rsid w:val="00C70244"/>
    <w:rsid w:val="00C70307"/>
    <w:rsid w:val="00C703BD"/>
    <w:rsid w:val="00C704A5"/>
    <w:rsid w:val="00C70C49"/>
    <w:rsid w:val="00C70E39"/>
    <w:rsid w:val="00C7157E"/>
    <w:rsid w:val="00C718BC"/>
    <w:rsid w:val="00C72A90"/>
    <w:rsid w:val="00C73534"/>
    <w:rsid w:val="00C74420"/>
    <w:rsid w:val="00C7542B"/>
    <w:rsid w:val="00C75734"/>
    <w:rsid w:val="00C75990"/>
    <w:rsid w:val="00C7684A"/>
    <w:rsid w:val="00C774E6"/>
    <w:rsid w:val="00C77543"/>
    <w:rsid w:val="00C778CD"/>
    <w:rsid w:val="00C779D7"/>
    <w:rsid w:val="00C806F7"/>
    <w:rsid w:val="00C80896"/>
    <w:rsid w:val="00C80BA5"/>
    <w:rsid w:val="00C80C54"/>
    <w:rsid w:val="00C80D03"/>
    <w:rsid w:val="00C810AB"/>
    <w:rsid w:val="00C812F0"/>
    <w:rsid w:val="00C8273C"/>
    <w:rsid w:val="00C8285D"/>
    <w:rsid w:val="00C83966"/>
    <w:rsid w:val="00C841C8"/>
    <w:rsid w:val="00C842CB"/>
    <w:rsid w:val="00C847FF"/>
    <w:rsid w:val="00C84A98"/>
    <w:rsid w:val="00C855D9"/>
    <w:rsid w:val="00C856CC"/>
    <w:rsid w:val="00C856D1"/>
    <w:rsid w:val="00C86242"/>
    <w:rsid w:val="00C86570"/>
    <w:rsid w:val="00C86887"/>
    <w:rsid w:val="00C86C12"/>
    <w:rsid w:val="00C875D8"/>
    <w:rsid w:val="00C917A1"/>
    <w:rsid w:val="00C91EBC"/>
    <w:rsid w:val="00C920D4"/>
    <w:rsid w:val="00C9220D"/>
    <w:rsid w:val="00C92422"/>
    <w:rsid w:val="00C92777"/>
    <w:rsid w:val="00C92BA1"/>
    <w:rsid w:val="00C933D6"/>
    <w:rsid w:val="00C936C8"/>
    <w:rsid w:val="00C93F6B"/>
    <w:rsid w:val="00C94A71"/>
    <w:rsid w:val="00C95166"/>
    <w:rsid w:val="00C95457"/>
    <w:rsid w:val="00C95BFB"/>
    <w:rsid w:val="00C96206"/>
    <w:rsid w:val="00C96323"/>
    <w:rsid w:val="00C9693F"/>
    <w:rsid w:val="00C96B0E"/>
    <w:rsid w:val="00C971B8"/>
    <w:rsid w:val="00C97797"/>
    <w:rsid w:val="00C97F1E"/>
    <w:rsid w:val="00CA0D35"/>
    <w:rsid w:val="00CA0D74"/>
    <w:rsid w:val="00CA14CE"/>
    <w:rsid w:val="00CA14FD"/>
    <w:rsid w:val="00CA1618"/>
    <w:rsid w:val="00CA1933"/>
    <w:rsid w:val="00CA2CE1"/>
    <w:rsid w:val="00CA35CD"/>
    <w:rsid w:val="00CA3618"/>
    <w:rsid w:val="00CA3B4E"/>
    <w:rsid w:val="00CA4347"/>
    <w:rsid w:val="00CA469E"/>
    <w:rsid w:val="00CA4B91"/>
    <w:rsid w:val="00CA5B80"/>
    <w:rsid w:val="00CA5C8F"/>
    <w:rsid w:val="00CA5E57"/>
    <w:rsid w:val="00CA6819"/>
    <w:rsid w:val="00CA68A3"/>
    <w:rsid w:val="00CA6EA5"/>
    <w:rsid w:val="00CA6FD9"/>
    <w:rsid w:val="00CA71BA"/>
    <w:rsid w:val="00CA7787"/>
    <w:rsid w:val="00CA7BB0"/>
    <w:rsid w:val="00CB0824"/>
    <w:rsid w:val="00CB0887"/>
    <w:rsid w:val="00CB13E7"/>
    <w:rsid w:val="00CB1800"/>
    <w:rsid w:val="00CB1821"/>
    <w:rsid w:val="00CB32B5"/>
    <w:rsid w:val="00CB3428"/>
    <w:rsid w:val="00CB34AC"/>
    <w:rsid w:val="00CB4472"/>
    <w:rsid w:val="00CB4535"/>
    <w:rsid w:val="00CB520B"/>
    <w:rsid w:val="00CB531C"/>
    <w:rsid w:val="00CB60E2"/>
    <w:rsid w:val="00CB616B"/>
    <w:rsid w:val="00CB6578"/>
    <w:rsid w:val="00CB6D7D"/>
    <w:rsid w:val="00CB6DBE"/>
    <w:rsid w:val="00CB6E33"/>
    <w:rsid w:val="00CB7252"/>
    <w:rsid w:val="00CB75CE"/>
    <w:rsid w:val="00CB76A4"/>
    <w:rsid w:val="00CB7F83"/>
    <w:rsid w:val="00CC013B"/>
    <w:rsid w:val="00CC1605"/>
    <w:rsid w:val="00CC16DE"/>
    <w:rsid w:val="00CC1D48"/>
    <w:rsid w:val="00CC1EE1"/>
    <w:rsid w:val="00CC2333"/>
    <w:rsid w:val="00CC2514"/>
    <w:rsid w:val="00CC25E3"/>
    <w:rsid w:val="00CC2D05"/>
    <w:rsid w:val="00CC309E"/>
    <w:rsid w:val="00CC34A9"/>
    <w:rsid w:val="00CC35C5"/>
    <w:rsid w:val="00CC37A8"/>
    <w:rsid w:val="00CC421D"/>
    <w:rsid w:val="00CC4CE2"/>
    <w:rsid w:val="00CC5A1F"/>
    <w:rsid w:val="00CC5AE9"/>
    <w:rsid w:val="00CC626E"/>
    <w:rsid w:val="00CC645E"/>
    <w:rsid w:val="00CC64DB"/>
    <w:rsid w:val="00CC6709"/>
    <w:rsid w:val="00CC69B6"/>
    <w:rsid w:val="00CC6C03"/>
    <w:rsid w:val="00CC7F51"/>
    <w:rsid w:val="00CD1168"/>
    <w:rsid w:val="00CD1F47"/>
    <w:rsid w:val="00CD2012"/>
    <w:rsid w:val="00CD2070"/>
    <w:rsid w:val="00CD2089"/>
    <w:rsid w:val="00CD23CD"/>
    <w:rsid w:val="00CD2869"/>
    <w:rsid w:val="00CD2EED"/>
    <w:rsid w:val="00CD3066"/>
    <w:rsid w:val="00CD3187"/>
    <w:rsid w:val="00CD42C3"/>
    <w:rsid w:val="00CD460D"/>
    <w:rsid w:val="00CD4611"/>
    <w:rsid w:val="00CD5060"/>
    <w:rsid w:val="00CD5525"/>
    <w:rsid w:val="00CD5746"/>
    <w:rsid w:val="00CD5984"/>
    <w:rsid w:val="00CD5EDB"/>
    <w:rsid w:val="00CD61FF"/>
    <w:rsid w:val="00CD647F"/>
    <w:rsid w:val="00CD6C42"/>
    <w:rsid w:val="00CD6DE1"/>
    <w:rsid w:val="00CD6E22"/>
    <w:rsid w:val="00CD7723"/>
    <w:rsid w:val="00CE03E9"/>
    <w:rsid w:val="00CE080F"/>
    <w:rsid w:val="00CE0B08"/>
    <w:rsid w:val="00CE0D8C"/>
    <w:rsid w:val="00CE0D8D"/>
    <w:rsid w:val="00CE0EE5"/>
    <w:rsid w:val="00CE1BE0"/>
    <w:rsid w:val="00CE1D93"/>
    <w:rsid w:val="00CE28C0"/>
    <w:rsid w:val="00CE331E"/>
    <w:rsid w:val="00CE337E"/>
    <w:rsid w:val="00CE376C"/>
    <w:rsid w:val="00CE4083"/>
    <w:rsid w:val="00CE42DA"/>
    <w:rsid w:val="00CE4570"/>
    <w:rsid w:val="00CE4C73"/>
    <w:rsid w:val="00CE4C86"/>
    <w:rsid w:val="00CE6781"/>
    <w:rsid w:val="00CE6A00"/>
    <w:rsid w:val="00CE6B44"/>
    <w:rsid w:val="00CE6C35"/>
    <w:rsid w:val="00CE764B"/>
    <w:rsid w:val="00CF04DF"/>
    <w:rsid w:val="00CF099B"/>
    <w:rsid w:val="00CF16CF"/>
    <w:rsid w:val="00CF1AAA"/>
    <w:rsid w:val="00CF1B3B"/>
    <w:rsid w:val="00CF20AD"/>
    <w:rsid w:val="00CF23EA"/>
    <w:rsid w:val="00CF2967"/>
    <w:rsid w:val="00CF3244"/>
    <w:rsid w:val="00CF39E9"/>
    <w:rsid w:val="00CF4B55"/>
    <w:rsid w:val="00CF4B5A"/>
    <w:rsid w:val="00CF4BD7"/>
    <w:rsid w:val="00CF4DF6"/>
    <w:rsid w:val="00CF4F76"/>
    <w:rsid w:val="00CF4FB9"/>
    <w:rsid w:val="00CF58D3"/>
    <w:rsid w:val="00CF5E2E"/>
    <w:rsid w:val="00CF615B"/>
    <w:rsid w:val="00CF6607"/>
    <w:rsid w:val="00CF66EE"/>
    <w:rsid w:val="00CF680A"/>
    <w:rsid w:val="00CF692E"/>
    <w:rsid w:val="00CF6F72"/>
    <w:rsid w:val="00CF7477"/>
    <w:rsid w:val="00CF7B90"/>
    <w:rsid w:val="00D00FDA"/>
    <w:rsid w:val="00D01E40"/>
    <w:rsid w:val="00D01E91"/>
    <w:rsid w:val="00D03321"/>
    <w:rsid w:val="00D0363B"/>
    <w:rsid w:val="00D03C40"/>
    <w:rsid w:val="00D03E9B"/>
    <w:rsid w:val="00D042A3"/>
    <w:rsid w:val="00D04C45"/>
    <w:rsid w:val="00D04C77"/>
    <w:rsid w:val="00D04EAA"/>
    <w:rsid w:val="00D05084"/>
    <w:rsid w:val="00D0569F"/>
    <w:rsid w:val="00D05A07"/>
    <w:rsid w:val="00D05E93"/>
    <w:rsid w:val="00D06F18"/>
    <w:rsid w:val="00D07013"/>
    <w:rsid w:val="00D0767F"/>
    <w:rsid w:val="00D07771"/>
    <w:rsid w:val="00D113B0"/>
    <w:rsid w:val="00D11513"/>
    <w:rsid w:val="00D11BB6"/>
    <w:rsid w:val="00D12164"/>
    <w:rsid w:val="00D12670"/>
    <w:rsid w:val="00D13129"/>
    <w:rsid w:val="00D1316F"/>
    <w:rsid w:val="00D131CA"/>
    <w:rsid w:val="00D1388F"/>
    <w:rsid w:val="00D13A70"/>
    <w:rsid w:val="00D13AAF"/>
    <w:rsid w:val="00D14342"/>
    <w:rsid w:val="00D144D9"/>
    <w:rsid w:val="00D166F8"/>
    <w:rsid w:val="00D170F7"/>
    <w:rsid w:val="00D17479"/>
    <w:rsid w:val="00D203BD"/>
    <w:rsid w:val="00D2095D"/>
    <w:rsid w:val="00D20CFF"/>
    <w:rsid w:val="00D21330"/>
    <w:rsid w:val="00D2143B"/>
    <w:rsid w:val="00D21D9C"/>
    <w:rsid w:val="00D21F32"/>
    <w:rsid w:val="00D2212A"/>
    <w:rsid w:val="00D2322E"/>
    <w:rsid w:val="00D2465F"/>
    <w:rsid w:val="00D2489C"/>
    <w:rsid w:val="00D25D76"/>
    <w:rsid w:val="00D26DB1"/>
    <w:rsid w:val="00D27883"/>
    <w:rsid w:val="00D303BB"/>
    <w:rsid w:val="00D3050C"/>
    <w:rsid w:val="00D30806"/>
    <w:rsid w:val="00D30AB7"/>
    <w:rsid w:val="00D30B37"/>
    <w:rsid w:val="00D30E14"/>
    <w:rsid w:val="00D31695"/>
    <w:rsid w:val="00D31BED"/>
    <w:rsid w:val="00D31CDB"/>
    <w:rsid w:val="00D31D27"/>
    <w:rsid w:val="00D32152"/>
    <w:rsid w:val="00D32C81"/>
    <w:rsid w:val="00D33161"/>
    <w:rsid w:val="00D33956"/>
    <w:rsid w:val="00D33ACF"/>
    <w:rsid w:val="00D33BC6"/>
    <w:rsid w:val="00D340BF"/>
    <w:rsid w:val="00D34A37"/>
    <w:rsid w:val="00D34E7B"/>
    <w:rsid w:val="00D35127"/>
    <w:rsid w:val="00D351E1"/>
    <w:rsid w:val="00D353B9"/>
    <w:rsid w:val="00D36BB3"/>
    <w:rsid w:val="00D36F3C"/>
    <w:rsid w:val="00D37258"/>
    <w:rsid w:val="00D3725D"/>
    <w:rsid w:val="00D373C5"/>
    <w:rsid w:val="00D37639"/>
    <w:rsid w:val="00D37804"/>
    <w:rsid w:val="00D37819"/>
    <w:rsid w:val="00D37911"/>
    <w:rsid w:val="00D37ABF"/>
    <w:rsid w:val="00D40952"/>
    <w:rsid w:val="00D40CF0"/>
    <w:rsid w:val="00D40DA5"/>
    <w:rsid w:val="00D4126F"/>
    <w:rsid w:val="00D412FA"/>
    <w:rsid w:val="00D414D4"/>
    <w:rsid w:val="00D41871"/>
    <w:rsid w:val="00D419A6"/>
    <w:rsid w:val="00D41AC7"/>
    <w:rsid w:val="00D41C0B"/>
    <w:rsid w:val="00D426E9"/>
    <w:rsid w:val="00D42708"/>
    <w:rsid w:val="00D427A7"/>
    <w:rsid w:val="00D43A17"/>
    <w:rsid w:val="00D43C20"/>
    <w:rsid w:val="00D44D39"/>
    <w:rsid w:val="00D44F56"/>
    <w:rsid w:val="00D45195"/>
    <w:rsid w:val="00D45598"/>
    <w:rsid w:val="00D46397"/>
    <w:rsid w:val="00D468BC"/>
    <w:rsid w:val="00D4740B"/>
    <w:rsid w:val="00D47A06"/>
    <w:rsid w:val="00D5011E"/>
    <w:rsid w:val="00D5056C"/>
    <w:rsid w:val="00D510D8"/>
    <w:rsid w:val="00D51306"/>
    <w:rsid w:val="00D515C3"/>
    <w:rsid w:val="00D5175C"/>
    <w:rsid w:val="00D532AF"/>
    <w:rsid w:val="00D53544"/>
    <w:rsid w:val="00D53746"/>
    <w:rsid w:val="00D53E80"/>
    <w:rsid w:val="00D5489C"/>
    <w:rsid w:val="00D5623A"/>
    <w:rsid w:val="00D5642D"/>
    <w:rsid w:val="00D568AD"/>
    <w:rsid w:val="00D56E21"/>
    <w:rsid w:val="00D575C5"/>
    <w:rsid w:val="00D577B0"/>
    <w:rsid w:val="00D57D17"/>
    <w:rsid w:val="00D600A7"/>
    <w:rsid w:val="00D60808"/>
    <w:rsid w:val="00D60E8C"/>
    <w:rsid w:val="00D61245"/>
    <w:rsid w:val="00D61407"/>
    <w:rsid w:val="00D61921"/>
    <w:rsid w:val="00D62549"/>
    <w:rsid w:val="00D629D5"/>
    <w:rsid w:val="00D62DF5"/>
    <w:rsid w:val="00D6322D"/>
    <w:rsid w:val="00D632B3"/>
    <w:rsid w:val="00D655D3"/>
    <w:rsid w:val="00D658C0"/>
    <w:rsid w:val="00D658E5"/>
    <w:rsid w:val="00D65F28"/>
    <w:rsid w:val="00D66E8E"/>
    <w:rsid w:val="00D6731E"/>
    <w:rsid w:val="00D675EC"/>
    <w:rsid w:val="00D67813"/>
    <w:rsid w:val="00D67A37"/>
    <w:rsid w:val="00D7021C"/>
    <w:rsid w:val="00D7023A"/>
    <w:rsid w:val="00D70898"/>
    <w:rsid w:val="00D70A44"/>
    <w:rsid w:val="00D70DEF"/>
    <w:rsid w:val="00D70FD6"/>
    <w:rsid w:val="00D715B7"/>
    <w:rsid w:val="00D719E7"/>
    <w:rsid w:val="00D71A2A"/>
    <w:rsid w:val="00D729C7"/>
    <w:rsid w:val="00D72F77"/>
    <w:rsid w:val="00D739A2"/>
    <w:rsid w:val="00D7426E"/>
    <w:rsid w:val="00D74383"/>
    <w:rsid w:val="00D743FD"/>
    <w:rsid w:val="00D7473F"/>
    <w:rsid w:val="00D748BE"/>
    <w:rsid w:val="00D7490F"/>
    <w:rsid w:val="00D74987"/>
    <w:rsid w:val="00D74F32"/>
    <w:rsid w:val="00D74F81"/>
    <w:rsid w:val="00D75041"/>
    <w:rsid w:val="00D75D9D"/>
    <w:rsid w:val="00D76C99"/>
    <w:rsid w:val="00D76D0D"/>
    <w:rsid w:val="00D800AC"/>
    <w:rsid w:val="00D806F2"/>
    <w:rsid w:val="00D80A71"/>
    <w:rsid w:val="00D80D46"/>
    <w:rsid w:val="00D81122"/>
    <w:rsid w:val="00D8122A"/>
    <w:rsid w:val="00D8152D"/>
    <w:rsid w:val="00D819C0"/>
    <w:rsid w:val="00D81C39"/>
    <w:rsid w:val="00D81D3A"/>
    <w:rsid w:val="00D825C1"/>
    <w:rsid w:val="00D836AB"/>
    <w:rsid w:val="00D83D08"/>
    <w:rsid w:val="00D83DCC"/>
    <w:rsid w:val="00D84A3D"/>
    <w:rsid w:val="00D84D26"/>
    <w:rsid w:val="00D8534A"/>
    <w:rsid w:val="00D85FBA"/>
    <w:rsid w:val="00D86712"/>
    <w:rsid w:val="00D8720A"/>
    <w:rsid w:val="00D8736A"/>
    <w:rsid w:val="00D877AC"/>
    <w:rsid w:val="00D87A0D"/>
    <w:rsid w:val="00D87AEA"/>
    <w:rsid w:val="00D87F07"/>
    <w:rsid w:val="00D90433"/>
    <w:rsid w:val="00D90ABF"/>
    <w:rsid w:val="00D90C34"/>
    <w:rsid w:val="00D90ED9"/>
    <w:rsid w:val="00D92042"/>
    <w:rsid w:val="00D924B3"/>
    <w:rsid w:val="00D9265A"/>
    <w:rsid w:val="00D92D32"/>
    <w:rsid w:val="00D93B90"/>
    <w:rsid w:val="00D945AE"/>
    <w:rsid w:val="00D9482C"/>
    <w:rsid w:val="00D94BA2"/>
    <w:rsid w:val="00D94D39"/>
    <w:rsid w:val="00D9557C"/>
    <w:rsid w:val="00D95581"/>
    <w:rsid w:val="00D956F2"/>
    <w:rsid w:val="00D95861"/>
    <w:rsid w:val="00D95929"/>
    <w:rsid w:val="00D95ECF"/>
    <w:rsid w:val="00D96011"/>
    <w:rsid w:val="00D96160"/>
    <w:rsid w:val="00D963A4"/>
    <w:rsid w:val="00D965CB"/>
    <w:rsid w:val="00D965D0"/>
    <w:rsid w:val="00D96896"/>
    <w:rsid w:val="00D96DD3"/>
    <w:rsid w:val="00D974A9"/>
    <w:rsid w:val="00D974ED"/>
    <w:rsid w:val="00D976BF"/>
    <w:rsid w:val="00D97872"/>
    <w:rsid w:val="00DA0022"/>
    <w:rsid w:val="00DA052A"/>
    <w:rsid w:val="00DA1589"/>
    <w:rsid w:val="00DA17D2"/>
    <w:rsid w:val="00DA1C36"/>
    <w:rsid w:val="00DA2686"/>
    <w:rsid w:val="00DA3A08"/>
    <w:rsid w:val="00DA3C90"/>
    <w:rsid w:val="00DA416C"/>
    <w:rsid w:val="00DA4AF6"/>
    <w:rsid w:val="00DA4DAE"/>
    <w:rsid w:val="00DA681F"/>
    <w:rsid w:val="00DA6BFD"/>
    <w:rsid w:val="00DA6EB4"/>
    <w:rsid w:val="00DA7044"/>
    <w:rsid w:val="00DA727C"/>
    <w:rsid w:val="00DA77DA"/>
    <w:rsid w:val="00DA7A7D"/>
    <w:rsid w:val="00DA7F4C"/>
    <w:rsid w:val="00DB0737"/>
    <w:rsid w:val="00DB0E93"/>
    <w:rsid w:val="00DB0FBE"/>
    <w:rsid w:val="00DB0FCF"/>
    <w:rsid w:val="00DB117E"/>
    <w:rsid w:val="00DB11C0"/>
    <w:rsid w:val="00DB1E88"/>
    <w:rsid w:val="00DB258F"/>
    <w:rsid w:val="00DB2635"/>
    <w:rsid w:val="00DB3303"/>
    <w:rsid w:val="00DB3E70"/>
    <w:rsid w:val="00DB4873"/>
    <w:rsid w:val="00DB4D43"/>
    <w:rsid w:val="00DB570E"/>
    <w:rsid w:val="00DB5E63"/>
    <w:rsid w:val="00DB61BB"/>
    <w:rsid w:val="00DB6382"/>
    <w:rsid w:val="00DB6CE9"/>
    <w:rsid w:val="00DB788D"/>
    <w:rsid w:val="00DB7938"/>
    <w:rsid w:val="00DB7A39"/>
    <w:rsid w:val="00DB7D64"/>
    <w:rsid w:val="00DC05CF"/>
    <w:rsid w:val="00DC09AF"/>
    <w:rsid w:val="00DC0D11"/>
    <w:rsid w:val="00DC0D60"/>
    <w:rsid w:val="00DC0F51"/>
    <w:rsid w:val="00DC1B66"/>
    <w:rsid w:val="00DC1C79"/>
    <w:rsid w:val="00DC200A"/>
    <w:rsid w:val="00DC281E"/>
    <w:rsid w:val="00DC292A"/>
    <w:rsid w:val="00DC31B0"/>
    <w:rsid w:val="00DC33B4"/>
    <w:rsid w:val="00DC344C"/>
    <w:rsid w:val="00DC420B"/>
    <w:rsid w:val="00DC4329"/>
    <w:rsid w:val="00DC46CB"/>
    <w:rsid w:val="00DC55AA"/>
    <w:rsid w:val="00DC6397"/>
    <w:rsid w:val="00DC64F6"/>
    <w:rsid w:val="00DC6BDA"/>
    <w:rsid w:val="00DC6DB0"/>
    <w:rsid w:val="00DC73DA"/>
    <w:rsid w:val="00DD07AE"/>
    <w:rsid w:val="00DD1259"/>
    <w:rsid w:val="00DD12B2"/>
    <w:rsid w:val="00DD17BA"/>
    <w:rsid w:val="00DD1994"/>
    <w:rsid w:val="00DD1D1E"/>
    <w:rsid w:val="00DD1DD1"/>
    <w:rsid w:val="00DD2455"/>
    <w:rsid w:val="00DD24CD"/>
    <w:rsid w:val="00DD2B65"/>
    <w:rsid w:val="00DD2C1A"/>
    <w:rsid w:val="00DD2C38"/>
    <w:rsid w:val="00DD316C"/>
    <w:rsid w:val="00DD3A55"/>
    <w:rsid w:val="00DD3D54"/>
    <w:rsid w:val="00DD447B"/>
    <w:rsid w:val="00DD4648"/>
    <w:rsid w:val="00DD481F"/>
    <w:rsid w:val="00DD4AD1"/>
    <w:rsid w:val="00DD4F9B"/>
    <w:rsid w:val="00DD5298"/>
    <w:rsid w:val="00DD5780"/>
    <w:rsid w:val="00DD5891"/>
    <w:rsid w:val="00DD61E6"/>
    <w:rsid w:val="00DD65DD"/>
    <w:rsid w:val="00DD6CCE"/>
    <w:rsid w:val="00DD781D"/>
    <w:rsid w:val="00DD7E67"/>
    <w:rsid w:val="00DE002D"/>
    <w:rsid w:val="00DE06EC"/>
    <w:rsid w:val="00DE09DF"/>
    <w:rsid w:val="00DE0CCF"/>
    <w:rsid w:val="00DE0EA0"/>
    <w:rsid w:val="00DE1704"/>
    <w:rsid w:val="00DE2149"/>
    <w:rsid w:val="00DE24DC"/>
    <w:rsid w:val="00DE30F6"/>
    <w:rsid w:val="00DE389F"/>
    <w:rsid w:val="00DE434F"/>
    <w:rsid w:val="00DE43E9"/>
    <w:rsid w:val="00DE44DE"/>
    <w:rsid w:val="00DE5A1D"/>
    <w:rsid w:val="00DE5B8A"/>
    <w:rsid w:val="00DE64E9"/>
    <w:rsid w:val="00DE77FC"/>
    <w:rsid w:val="00DE7B82"/>
    <w:rsid w:val="00DE7C13"/>
    <w:rsid w:val="00DE7C3C"/>
    <w:rsid w:val="00DF16C4"/>
    <w:rsid w:val="00DF1834"/>
    <w:rsid w:val="00DF1A51"/>
    <w:rsid w:val="00DF273A"/>
    <w:rsid w:val="00DF2882"/>
    <w:rsid w:val="00DF2F05"/>
    <w:rsid w:val="00DF2FE2"/>
    <w:rsid w:val="00DF32FE"/>
    <w:rsid w:val="00DF3831"/>
    <w:rsid w:val="00DF4616"/>
    <w:rsid w:val="00DF4ACE"/>
    <w:rsid w:val="00DF4E36"/>
    <w:rsid w:val="00DF4FC5"/>
    <w:rsid w:val="00DF5D0C"/>
    <w:rsid w:val="00DF67CF"/>
    <w:rsid w:val="00DF6F3F"/>
    <w:rsid w:val="00DF7D88"/>
    <w:rsid w:val="00DF7E65"/>
    <w:rsid w:val="00DF7ED6"/>
    <w:rsid w:val="00DF7FF6"/>
    <w:rsid w:val="00E003CE"/>
    <w:rsid w:val="00E013D6"/>
    <w:rsid w:val="00E01ED7"/>
    <w:rsid w:val="00E027AE"/>
    <w:rsid w:val="00E02A7A"/>
    <w:rsid w:val="00E03662"/>
    <w:rsid w:val="00E03720"/>
    <w:rsid w:val="00E03C20"/>
    <w:rsid w:val="00E03D72"/>
    <w:rsid w:val="00E03FE7"/>
    <w:rsid w:val="00E042EA"/>
    <w:rsid w:val="00E04DC0"/>
    <w:rsid w:val="00E04DF9"/>
    <w:rsid w:val="00E054C8"/>
    <w:rsid w:val="00E05599"/>
    <w:rsid w:val="00E05C5D"/>
    <w:rsid w:val="00E05E62"/>
    <w:rsid w:val="00E06964"/>
    <w:rsid w:val="00E072BE"/>
    <w:rsid w:val="00E0761B"/>
    <w:rsid w:val="00E10732"/>
    <w:rsid w:val="00E10A46"/>
    <w:rsid w:val="00E10D09"/>
    <w:rsid w:val="00E10D6E"/>
    <w:rsid w:val="00E10EF6"/>
    <w:rsid w:val="00E11036"/>
    <w:rsid w:val="00E11493"/>
    <w:rsid w:val="00E11BD2"/>
    <w:rsid w:val="00E11D0D"/>
    <w:rsid w:val="00E11EE7"/>
    <w:rsid w:val="00E1245E"/>
    <w:rsid w:val="00E12613"/>
    <w:rsid w:val="00E12978"/>
    <w:rsid w:val="00E12B11"/>
    <w:rsid w:val="00E1314B"/>
    <w:rsid w:val="00E13FE0"/>
    <w:rsid w:val="00E14185"/>
    <w:rsid w:val="00E144BA"/>
    <w:rsid w:val="00E16679"/>
    <w:rsid w:val="00E17E0B"/>
    <w:rsid w:val="00E2031A"/>
    <w:rsid w:val="00E20611"/>
    <w:rsid w:val="00E20B03"/>
    <w:rsid w:val="00E20C94"/>
    <w:rsid w:val="00E20DB6"/>
    <w:rsid w:val="00E2152C"/>
    <w:rsid w:val="00E217A0"/>
    <w:rsid w:val="00E21D15"/>
    <w:rsid w:val="00E224CB"/>
    <w:rsid w:val="00E22B98"/>
    <w:rsid w:val="00E22F9A"/>
    <w:rsid w:val="00E2366F"/>
    <w:rsid w:val="00E23838"/>
    <w:rsid w:val="00E23D46"/>
    <w:rsid w:val="00E24062"/>
    <w:rsid w:val="00E24F8B"/>
    <w:rsid w:val="00E251B8"/>
    <w:rsid w:val="00E25C02"/>
    <w:rsid w:val="00E25C58"/>
    <w:rsid w:val="00E267BB"/>
    <w:rsid w:val="00E26A6A"/>
    <w:rsid w:val="00E27ED2"/>
    <w:rsid w:val="00E3023E"/>
    <w:rsid w:val="00E3074F"/>
    <w:rsid w:val="00E30755"/>
    <w:rsid w:val="00E30F92"/>
    <w:rsid w:val="00E312CF"/>
    <w:rsid w:val="00E314CB"/>
    <w:rsid w:val="00E31998"/>
    <w:rsid w:val="00E31D16"/>
    <w:rsid w:val="00E31E10"/>
    <w:rsid w:val="00E32540"/>
    <w:rsid w:val="00E3297C"/>
    <w:rsid w:val="00E329E7"/>
    <w:rsid w:val="00E32BF2"/>
    <w:rsid w:val="00E3301C"/>
    <w:rsid w:val="00E331C7"/>
    <w:rsid w:val="00E33546"/>
    <w:rsid w:val="00E339B0"/>
    <w:rsid w:val="00E33A6F"/>
    <w:rsid w:val="00E33B98"/>
    <w:rsid w:val="00E34EAC"/>
    <w:rsid w:val="00E34F0D"/>
    <w:rsid w:val="00E354DD"/>
    <w:rsid w:val="00E3696E"/>
    <w:rsid w:val="00E36BA7"/>
    <w:rsid w:val="00E374E3"/>
    <w:rsid w:val="00E378AB"/>
    <w:rsid w:val="00E379A3"/>
    <w:rsid w:val="00E37DA2"/>
    <w:rsid w:val="00E40424"/>
    <w:rsid w:val="00E40516"/>
    <w:rsid w:val="00E40849"/>
    <w:rsid w:val="00E40AA1"/>
    <w:rsid w:val="00E40AFB"/>
    <w:rsid w:val="00E411F8"/>
    <w:rsid w:val="00E41999"/>
    <w:rsid w:val="00E41DA8"/>
    <w:rsid w:val="00E41F52"/>
    <w:rsid w:val="00E42FCA"/>
    <w:rsid w:val="00E43E46"/>
    <w:rsid w:val="00E4478F"/>
    <w:rsid w:val="00E4593F"/>
    <w:rsid w:val="00E459BB"/>
    <w:rsid w:val="00E45A22"/>
    <w:rsid w:val="00E4600C"/>
    <w:rsid w:val="00E463FC"/>
    <w:rsid w:val="00E46471"/>
    <w:rsid w:val="00E465D5"/>
    <w:rsid w:val="00E4699C"/>
    <w:rsid w:val="00E46BA8"/>
    <w:rsid w:val="00E478AB"/>
    <w:rsid w:val="00E47D18"/>
    <w:rsid w:val="00E50226"/>
    <w:rsid w:val="00E5033F"/>
    <w:rsid w:val="00E50725"/>
    <w:rsid w:val="00E50A41"/>
    <w:rsid w:val="00E5135E"/>
    <w:rsid w:val="00E52FEE"/>
    <w:rsid w:val="00E530B9"/>
    <w:rsid w:val="00E5326B"/>
    <w:rsid w:val="00E54374"/>
    <w:rsid w:val="00E55086"/>
    <w:rsid w:val="00E554FD"/>
    <w:rsid w:val="00E5567D"/>
    <w:rsid w:val="00E55E54"/>
    <w:rsid w:val="00E564B1"/>
    <w:rsid w:val="00E565EE"/>
    <w:rsid w:val="00E56BB2"/>
    <w:rsid w:val="00E57905"/>
    <w:rsid w:val="00E57A78"/>
    <w:rsid w:val="00E601BA"/>
    <w:rsid w:val="00E60493"/>
    <w:rsid w:val="00E61216"/>
    <w:rsid w:val="00E613A1"/>
    <w:rsid w:val="00E61797"/>
    <w:rsid w:val="00E61CFF"/>
    <w:rsid w:val="00E61EC1"/>
    <w:rsid w:val="00E61F59"/>
    <w:rsid w:val="00E62069"/>
    <w:rsid w:val="00E626F5"/>
    <w:rsid w:val="00E62755"/>
    <w:rsid w:val="00E62895"/>
    <w:rsid w:val="00E62DCE"/>
    <w:rsid w:val="00E63548"/>
    <w:rsid w:val="00E638D4"/>
    <w:rsid w:val="00E63D7D"/>
    <w:rsid w:val="00E63DCC"/>
    <w:rsid w:val="00E6418D"/>
    <w:rsid w:val="00E6448D"/>
    <w:rsid w:val="00E6455A"/>
    <w:rsid w:val="00E64625"/>
    <w:rsid w:val="00E64CEB"/>
    <w:rsid w:val="00E6573A"/>
    <w:rsid w:val="00E658A4"/>
    <w:rsid w:val="00E65B10"/>
    <w:rsid w:val="00E66A4A"/>
    <w:rsid w:val="00E66B63"/>
    <w:rsid w:val="00E6708B"/>
    <w:rsid w:val="00E672BE"/>
    <w:rsid w:val="00E678FD"/>
    <w:rsid w:val="00E67ABD"/>
    <w:rsid w:val="00E67B68"/>
    <w:rsid w:val="00E67FE8"/>
    <w:rsid w:val="00E70B33"/>
    <w:rsid w:val="00E70D27"/>
    <w:rsid w:val="00E70FAF"/>
    <w:rsid w:val="00E7151F"/>
    <w:rsid w:val="00E71790"/>
    <w:rsid w:val="00E71797"/>
    <w:rsid w:val="00E71C06"/>
    <w:rsid w:val="00E71C7F"/>
    <w:rsid w:val="00E71D6C"/>
    <w:rsid w:val="00E721BA"/>
    <w:rsid w:val="00E726BB"/>
    <w:rsid w:val="00E7315C"/>
    <w:rsid w:val="00E73B1B"/>
    <w:rsid w:val="00E74969"/>
    <w:rsid w:val="00E74BB8"/>
    <w:rsid w:val="00E74D51"/>
    <w:rsid w:val="00E74ED1"/>
    <w:rsid w:val="00E74F53"/>
    <w:rsid w:val="00E74F78"/>
    <w:rsid w:val="00E74F9A"/>
    <w:rsid w:val="00E74FF7"/>
    <w:rsid w:val="00E753D8"/>
    <w:rsid w:val="00E75503"/>
    <w:rsid w:val="00E75972"/>
    <w:rsid w:val="00E75E10"/>
    <w:rsid w:val="00E76DA2"/>
    <w:rsid w:val="00E76DF0"/>
    <w:rsid w:val="00E7755F"/>
    <w:rsid w:val="00E80B57"/>
    <w:rsid w:val="00E80E11"/>
    <w:rsid w:val="00E812AE"/>
    <w:rsid w:val="00E813B7"/>
    <w:rsid w:val="00E81762"/>
    <w:rsid w:val="00E81C75"/>
    <w:rsid w:val="00E82148"/>
    <w:rsid w:val="00E8253A"/>
    <w:rsid w:val="00E834B3"/>
    <w:rsid w:val="00E84071"/>
    <w:rsid w:val="00E84682"/>
    <w:rsid w:val="00E854DA"/>
    <w:rsid w:val="00E8593A"/>
    <w:rsid w:val="00E85E6B"/>
    <w:rsid w:val="00E8613F"/>
    <w:rsid w:val="00E86807"/>
    <w:rsid w:val="00E869C6"/>
    <w:rsid w:val="00E86DD2"/>
    <w:rsid w:val="00E87016"/>
    <w:rsid w:val="00E87306"/>
    <w:rsid w:val="00E87560"/>
    <w:rsid w:val="00E90572"/>
    <w:rsid w:val="00E90804"/>
    <w:rsid w:val="00E913ED"/>
    <w:rsid w:val="00E9175B"/>
    <w:rsid w:val="00E93853"/>
    <w:rsid w:val="00E93973"/>
    <w:rsid w:val="00E93A9A"/>
    <w:rsid w:val="00E940D6"/>
    <w:rsid w:val="00E9424B"/>
    <w:rsid w:val="00E949C2"/>
    <w:rsid w:val="00E94C0A"/>
    <w:rsid w:val="00E95063"/>
    <w:rsid w:val="00E9515D"/>
    <w:rsid w:val="00E95D7D"/>
    <w:rsid w:val="00E9635B"/>
    <w:rsid w:val="00E967AC"/>
    <w:rsid w:val="00E96B9A"/>
    <w:rsid w:val="00E96FEC"/>
    <w:rsid w:val="00E97084"/>
    <w:rsid w:val="00E97862"/>
    <w:rsid w:val="00EA0139"/>
    <w:rsid w:val="00EA11C4"/>
    <w:rsid w:val="00EA1490"/>
    <w:rsid w:val="00EA1E2A"/>
    <w:rsid w:val="00EA20E2"/>
    <w:rsid w:val="00EA26EA"/>
    <w:rsid w:val="00EA27FB"/>
    <w:rsid w:val="00EA2A72"/>
    <w:rsid w:val="00EA2B84"/>
    <w:rsid w:val="00EA30D2"/>
    <w:rsid w:val="00EA3C37"/>
    <w:rsid w:val="00EA3C6E"/>
    <w:rsid w:val="00EA563A"/>
    <w:rsid w:val="00EA60AC"/>
    <w:rsid w:val="00EA6560"/>
    <w:rsid w:val="00EA6AFA"/>
    <w:rsid w:val="00EA6FED"/>
    <w:rsid w:val="00EA73AC"/>
    <w:rsid w:val="00EA769C"/>
    <w:rsid w:val="00EA7F68"/>
    <w:rsid w:val="00EB06D6"/>
    <w:rsid w:val="00EB0C1D"/>
    <w:rsid w:val="00EB0DC9"/>
    <w:rsid w:val="00EB0EB0"/>
    <w:rsid w:val="00EB0FB9"/>
    <w:rsid w:val="00EB1728"/>
    <w:rsid w:val="00EB1D63"/>
    <w:rsid w:val="00EB23F8"/>
    <w:rsid w:val="00EB24F0"/>
    <w:rsid w:val="00EB31F0"/>
    <w:rsid w:val="00EB49C6"/>
    <w:rsid w:val="00EB4AFA"/>
    <w:rsid w:val="00EB500B"/>
    <w:rsid w:val="00EB564D"/>
    <w:rsid w:val="00EB57A4"/>
    <w:rsid w:val="00EB5DBC"/>
    <w:rsid w:val="00EB5EE1"/>
    <w:rsid w:val="00EB6301"/>
    <w:rsid w:val="00EB6738"/>
    <w:rsid w:val="00EB680C"/>
    <w:rsid w:val="00EB6942"/>
    <w:rsid w:val="00EB6A3E"/>
    <w:rsid w:val="00EB7761"/>
    <w:rsid w:val="00EB7A20"/>
    <w:rsid w:val="00EB7C74"/>
    <w:rsid w:val="00EC005D"/>
    <w:rsid w:val="00EC00E5"/>
    <w:rsid w:val="00EC0511"/>
    <w:rsid w:val="00EC05F4"/>
    <w:rsid w:val="00EC0946"/>
    <w:rsid w:val="00EC0F8F"/>
    <w:rsid w:val="00EC144A"/>
    <w:rsid w:val="00EC1631"/>
    <w:rsid w:val="00EC16DE"/>
    <w:rsid w:val="00EC1774"/>
    <w:rsid w:val="00EC1777"/>
    <w:rsid w:val="00EC18C7"/>
    <w:rsid w:val="00EC1E1A"/>
    <w:rsid w:val="00EC1E47"/>
    <w:rsid w:val="00EC1F1D"/>
    <w:rsid w:val="00EC1F27"/>
    <w:rsid w:val="00EC2585"/>
    <w:rsid w:val="00EC2DA7"/>
    <w:rsid w:val="00EC3428"/>
    <w:rsid w:val="00EC34F9"/>
    <w:rsid w:val="00EC37B2"/>
    <w:rsid w:val="00EC37DE"/>
    <w:rsid w:val="00EC4CC1"/>
    <w:rsid w:val="00EC556D"/>
    <w:rsid w:val="00EC569F"/>
    <w:rsid w:val="00EC59A6"/>
    <w:rsid w:val="00EC5CA9"/>
    <w:rsid w:val="00EC6957"/>
    <w:rsid w:val="00EC7195"/>
    <w:rsid w:val="00EC7775"/>
    <w:rsid w:val="00EC799E"/>
    <w:rsid w:val="00EC7FC6"/>
    <w:rsid w:val="00ED0220"/>
    <w:rsid w:val="00ED02C9"/>
    <w:rsid w:val="00ED0A69"/>
    <w:rsid w:val="00ED0CBC"/>
    <w:rsid w:val="00ED1080"/>
    <w:rsid w:val="00ED1ACD"/>
    <w:rsid w:val="00ED1B87"/>
    <w:rsid w:val="00ED2F5A"/>
    <w:rsid w:val="00ED2FDF"/>
    <w:rsid w:val="00ED306D"/>
    <w:rsid w:val="00ED3124"/>
    <w:rsid w:val="00ED31AA"/>
    <w:rsid w:val="00ED327D"/>
    <w:rsid w:val="00ED3720"/>
    <w:rsid w:val="00ED3E70"/>
    <w:rsid w:val="00ED43CB"/>
    <w:rsid w:val="00ED45A5"/>
    <w:rsid w:val="00ED476C"/>
    <w:rsid w:val="00ED4BC8"/>
    <w:rsid w:val="00ED5393"/>
    <w:rsid w:val="00ED5EEC"/>
    <w:rsid w:val="00ED5F71"/>
    <w:rsid w:val="00ED673B"/>
    <w:rsid w:val="00ED691A"/>
    <w:rsid w:val="00ED6D34"/>
    <w:rsid w:val="00ED6D42"/>
    <w:rsid w:val="00ED73AB"/>
    <w:rsid w:val="00ED76AC"/>
    <w:rsid w:val="00ED7C3F"/>
    <w:rsid w:val="00ED7C74"/>
    <w:rsid w:val="00EE08E7"/>
    <w:rsid w:val="00EE1445"/>
    <w:rsid w:val="00EE1632"/>
    <w:rsid w:val="00EE1652"/>
    <w:rsid w:val="00EE1B84"/>
    <w:rsid w:val="00EE1BA4"/>
    <w:rsid w:val="00EE26C7"/>
    <w:rsid w:val="00EE36C1"/>
    <w:rsid w:val="00EE3A9B"/>
    <w:rsid w:val="00EE419B"/>
    <w:rsid w:val="00EE42FD"/>
    <w:rsid w:val="00EE43FC"/>
    <w:rsid w:val="00EE5667"/>
    <w:rsid w:val="00EE7361"/>
    <w:rsid w:val="00EE7644"/>
    <w:rsid w:val="00EE7667"/>
    <w:rsid w:val="00EE797B"/>
    <w:rsid w:val="00EE7A6A"/>
    <w:rsid w:val="00EF057A"/>
    <w:rsid w:val="00EF05AC"/>
    <w:rsid w:val="00EF0D97"/>
    <w:rsid w:val="00EF155A"/>
    <w:rsid w:val="00EF1C0A"/>
    <w:rsid w:val="00EF1D84"/>
    <w:rsid w:val="00EF20F8"/>
    <w:rsid w:val="00EF273D"/>
    <w:rsid w:val="00EF3414"/>
    <w:rsid w:val="00EF36D6"/>
    <w:rsid w:val="00EF3AC4"/>
    <w:rsid w:val="00EF3E7C"/>
    <w:rsid w:val="00EF41BB"/>
    <w:rsid w:val="00EF495F"/>
    <w:rsid w:val="00EF4CAB"/>
    <w:rsid w:val="00EF5144"/>
    <w:rsid w:val="00EF5E40"/>
    <w:rsid w:val="00EF6059"/>
    <w:rsid w:val="00EF65AF"/>
    <w:rsid w:val="00EF665E"/>
    <w:rsid w:val="00EF667C"/>
    <w:rsid w:val="00EF6D0F"/>
    <w:rsid w:val="00EF6EFE"/>
    <w:rsid w:val="00EF7161"/>
    <w:rsid w:val="00EF78BC"/>
    <w:rsid w:val="00F009BD"/>
    <w:rsid w:val="00F009FD"/>
    <w:rsid w:val="00F01FCF"/>
    <w:rsid w:val="00F037CB"/>
    <w:rsid w:val="00F037E1"/>
    <w:rsid w:val="00F03AA1"/>
    <w:rsid w:val="00F03D97"/>
    <w:rsid w:val="00F04004"/>
    <w:rsid w:val="00F040DF"/>
    <w:rsid w:val="00F04124"/>
    <w:rsid w:val="00F0438C"/>
    <w:rsid w:val="00F04607"/>
    <w:rsid w:val="00F05632"/>
    <w:rsid w:val="00F056E6"/>
    <w:rsid w:val="00F05F41"/>
    <w:rsid w:val="00F05F8E"/>
    <w:rsid w:val="00F060E3"/>
    <w:rsid w:val="00F063CB"/>
    <w:rsid w:val="00F067F6"/>
    <w:rsid w:val="00F06DF2"/>
    <w:rsid w:val="00F075CC"/>
    <w:rsid w:val="00F07E3A"/>
    <w:rsid w:val="00F10717"/>
    <w:rsid w:val="00F10FF0"/>
    <w:rsid w:val="00F113B7"/>
    <w:rsid w:val="00F117A8"/>
    <w:rsid w:val="00F12836"/>
    <w:rsid w:val="00F12DA8"/>
    <w:rsid w:val="00F12DC8"/>
    <w:rsid w:val="00F12F0D"/>
    <w:rsid w:val="00F13420"/>
    <w:rsid w:val="00F148C2"/>
    <w:rsid w:val="00F15356"/>
    <w:rsid w:val="00F153B8"/>
    <w:rsid w:val="00F153EE"/>
    <w:rsid w:val="00F1589A"/>
    <w:rsid w:val="00F159F9"/>
    <w:rsid w:val="00F15C43"/>
    <w:rsid w:val="00F15E92"/>
    <w:rsid w:val="00F16034"/>
    <w:rsid w:val="00F161F4"/>
    <w:rsid w:val="00F16764"/>
    <w:rsid w:val="00F16AB0"/>
    <w:rsid w:val="00F170BD"/>
    <w:rsid w:val="00F17306"/>
    <w:rsid w:val="00F174B5"/>
    <w:rsid w:val="00F20540"/>
    <w:rsid w:val="00F208DC"/>
    <w:rsid w:val="00F21903"/>
    <w:rsid w:val="00F22362"/>
    <w:rsid w:val="00F22ECA"/>
    <w:rsid w:val="00F232B1"/>
    <w:rsid w:val="00F23B3A"/>
    <w:rsid w:val="00F23DCC"/>
    <w:rsid w:val="00F24370"/>
    <w:rsid w:val="00F24986"/>
    <w:rsid w:val="00F24E17"/>
    <w:rsid w:val="00F25358"/>
    <w:rsid w:val="00F258A3"/>
    <w:rsid w:val="00F2662C"/>
    <w:rsid w:val="00F26E46"/>
    <w:rsid w:val="00F271EC"/>
    <w:rsid w:val="00F27409"/>
    <w:rsid w:val="00F27A8E"/>
    <w:rsid w:val="00F27F15"/>
    <w:rsid w:val="00F30223"/>
    <w:rsid w:val="00F319C7"/>
    <w:rsid w:val="00F31B06"/>
    <w:rsid w:val="00F31FBB"/>
    <w:rsid w:val="00F32224"/>
    <w:rsid w:val="00F32360"/>
    <w:rsid w:val="00F32608"/>
    <w:rsid w:val="00F32E15"/>
    <w:rsid w:val="00F32E4D"/>
    <w:rsid w:val="00F33699"/>
    <w:rsid w:val="00F34178"/>
    <w:rsid w:val="00F347E7"/>
    <w:rsid w:val="00F34A3C"/>
    <w:rsid w:val="00F3599C"/>
    <w:rsid w:val="00F35CD9"/>
    <w:rsid w:val="00F35ED6"/>
    <w:rsid w:val="00F36899"/>
    <w:rsid w:val="00F36FF0"/>
    <w:rsid w:val="00F3706A"/>
    <w:rsid w:val="00F37306"/>
    <w:rsid w:val="00F377E8"/>
    <w:rsid w:val="00F37AE9"/>
    <w:rsid w:val="00F37B10"/>
    <w:rsid w:val="00F37CD5"/>
    <w:rsid w:val="00F40200"/>
    <w:rsid w:val="00F407DC"/>
    <w:rsid w:val="00F40852"/>
    <w:rsid w:val="00F41128"/>
    <w:rsid w:val="00F41459"/>
    <w:rsid w:val="00F4211A"/>
    <w:rsid w:val="00F42583"/>
    <w:rsid w:val="00F4263B"/>
    <w:rsid w:val="00F4297D"/>
    <w:rsid w:val="00F42998"/>
    <w:rsid w:val="00F4299F"/>
    <w:rsid w:val="00F42B04"/>
    <w:rsid w:val="00F42FCE"/>
    <w:rsid w:val="00F4332E"/>
    <w:rsid w:val="00F43AD4"/>
    <w:rsid w:val="00F43D2F"/>
    <w:rsid w:val="00F44190"/>
    <w:rsid w:val="00F44962"/>
    <w:rsid w:val="00F45648"/>
    <w:rsid w:val="00F458E8"/>
    <w:rsid w:val="00F45DE8"/>
    <w:rsid w:val="00F460F5"/>
    <w:rsid w:val="00F46442"/>
    <w:rsid w:val="00F46B47"/>
    <w:rsid w:val="00F46F26"/>
    <w:rsid w:val="00F47384"/>
    <w:rsid w:val="00F474FF"/>
    <w:rsid w:val="00F4789F"/>
    <w:rsid w:val="00F47B73"/>
    <w:rsid w:val="00F47CDC"/>
    <w:rsid w:val="00F509F4"/>
    <w:rsid w:val="00F5100B"/>
    <w:rsid w:val="00F51624"/>
    <w:rsid w:val="00F5201D"/>
    <w:rsid w:val="00F53247"/>
    <w:rsid w:val="00F541B0"/>
    <w:rsid w:val="00F54304"/>
    <w:rsid w:val="00F551E1"/>
    <w:rsid w:val="00F5557A"/>
    <w:rsid w:val="00F55A82"/>
    <w:rsid w:val="00F55E87"/>
    <w:rsid w:val="00F55F21"/>
    <w:rsid w:val="00F56235"/>
    <w:rsid w:val="00F562D5"/>
    <w:rsid w:val="00F57088"/>
    <w:rsid w:val="00F57B6C"/>
    <w:rsid w:val="00F6018E"/>
    <w:rsid w:val="00F60318"/>
    <w:rsid w:val="00F60515"/>
    <w:rsid w:val="00F608D5"/>
    <w:rsid w:val="00F60F7D"/>
    <w:rsid w:val="00F60F8B"/>
    <w:rsid w:val="00F61604"/>
    <w:rsid w:val="00F61BA7"/>
    <w:rsid w:val="00F62761"/>
    <w:rsid w:val="00F62BDA"/>
    <w:rsid w:val="00F62C8F"/>
    <w:rsid w:val="00F63068"/>
    <w:rsid w:val="00F63466"/>
    <w:rsid w:val="00F63B06"/>
    <w:rsid w:val="00F64517"/>
    <w:rsid w:val="00F64F93"/>
    <w:rsid w:val="00F656EC"/>
    <w:rsid w:val="00F65D9B"/>
    <w:rsid w:val="00F662F6"/>
    <w:rsid w:val="00F662F7"/>
    <w:rsid w:val="00F66509"/>
    <w:rsid w:val="00F6674D"/>
    <w:rsid w:val="00F667D1"/>
    <w:rsid w:val="00F67ABB"/>
    <w:rsid w:val="00F67C0D"/>
    <w:rsid w:val="00F700AB"/>
    <w:rsid w:val="00F70341"/>
    <w:rsid w:val="00F703CB"/>
    <w:rsid w:val="00F7097D"/>
    <w:rsid w:val="00F70C78"/>
    <w:rsid w:val="00F71181"/>
    <w:rsid w:val="00F71419"/>
    <w:rsid w:val="00F7181F"/>
    <w:rsid w:val="00F71AD4"/>
    <w:rsid w:val="00F71F62"/>
    <w:rsid w:val="00F724B0"/>
    <w:rsid w:val="00F7279F"/>
    <w:rsid w:val="00F728E3"/>
    <w:rsid w:val="00F729E4"/>
    <w:rsid w:val="00F72FF9"/>
    <w:rsid w:val="00F73169"/>
    <w:rsid w:val="00F734F2"/>
    <w:rsid w:val="00F73C1D"/>
    <w:rsid w:val="00F73C61"/>
    <w:rsid w:val="00F74570"/>
    <w:rsid w:val="00F74B70"/>
    <w:rsid w:val="00F74CCC"/>
    <w:rsid w:val="00F74EB9"/>
    <w:rsid w:val="00F753A7"/>
    <w:rsid w:val="00F755F5"/>
    <w:rsid w:val="00F757A0"/>
    <w:rsid w:val="00F7614B"/>
    <w:rsid w:val="00F76EEE"/>
    <w:rsid w:val="00F80E14"/>
    <w:rsid w:val="00F815AC"/>
    <w:rsid w:val="00F81604"/>
    <w:rsid w:val="00F818E3"/>
    <w:rsid w:val="00F81C59"/>
    <w:rsid w:val="00F81DA6"/>
    <w:rsid w:val="00F8264F"/>
    <w:rsid w:val="00F8278B"/>
    <w:rsid w:val="00F82A17"/>
    <w:rsid w:val="00F82B43"/>
    <w:rsid w:val="00F82C98"/>
    <w:rsid w:val="00F830D3"/>
    <w:rsid w:val="00F8328B"/>
    <w:rsid w:val="00F8392B"/>
    <w:rsid w:val="00F83F77"/>
    <w:rsid w:val="00F848F8"/>
    <w:rsid w:val="00F85066"/>
    <w:rsid w:val="00F85E1E"/>
    <w:rsid w:val="00F85F39"/>
    <w:rsid w:val="00F85FD1"/>
    <w:rsid w:val="00F8678F"/>
    <w:rsid w:val="00F869B9"/>
    <w:rsid w:val="00F86B3E"/>
    <w:rsid w:val="00F8754F"/>
    <w:rsid w:val="00F87736"/>
    <w:rsid w:val="00F879AF"/>
    <w:rsid w:val="00F879D9"/>
    <w:rsid w:val="00F87A34"/>
    <w:rsid w:val="00F87BB9"/>
    <w:rsid w:val="00F9130C"/>
    <w:rsid w:val="00F91CAA"/>
    <w:rsid w:val="00F92516"/>
    <w:rsid w:val="00F929CE"/>
    <w:rsid w:val="00F929EF"/>
    <w:rsid w:val="00F92B3D"/>
    <w:rsid w:val="00F92BD7"/>
    <w:rsid w:val="00F931C5"/>
    <w:rsid w:val="00F932F9"/>
    <w:rsid w:val="00F93412"/>
    <w:rsid w:val="00F965E8"/>
    <w:rsid w:val="00F966EC"/>
    <w:rsid w:val="00F96C88"/>
    <w:rsid w:val="00F96DEE"/>
    <w:rsid w:val="00F97511"/>
    <w:rsid w:val="00F97A68"/>
    <w:rsid w:val="00FA007A"/>
    <w:rsid w:val="00FA026C"/>
    <w:rsid w:val="00FA03B8"/>
    <w:rsid w:val="00FA07A6"/>
    <w:rsid w:val="00FA1DB6"/>
    <w:rsid w:val="00FA20F8"/>
    <w:rsid w:val="00FA25B7"/>
    <w:rsid w:val="00FA31C7"/>
    <w:rsid w:val="00FA3A8A"/>
    <w:rsid w:val="00FA3B86"/>
    <w:rsid w:val="00FA3C72"/>
    <w:rsid w:val="00FA403B"/>
    <w:rsid w:val="00FA4CEE"/>
    <w:rsid w:val="00FA50CC"/>
    <w:rsid w:val="00FA530B"/>
    <w:rsid w:val="00FA5706"/>
    <w:rsid w:val="00FA5E55"/>
    <w:rsid w:val="00FA6168"/>
    <w:rsid w:val="00FA793F"/>
    <w:rsid w:val="00FB06D3"/>
    <w:rsid w:val="00FB133A"/>
    <w:rsid w:val="00FB13C4"/>
    <w:rsid w:val="00FB17EC"/>
    <w:rsid w:val="00FB191B"/>
    <w:rsid w:val="00FB1C79"/>
    <w:rsid w:val="00FB204E"/>
    <w:rsid w:val="00FB2586"/>
    <w:rsid w:val="00FB26D3"/>
    <w:rsid w:val="00FB2853"/>
    <w:rsid w:val="00FB2FC5"/>
    <w:rsid w:val="00FB2FC9"/>
    <w:rsid w:val="00FB34FF"/>
    <w:rsid w:val="00FB390E"/>
    <w:rsid w:val="00FB3A09"/>
    <w:rsid w:val="00FB3E30"/>
    <w:rsid w:val="00FB46CC"/>
    <w:rsid w:val="00FB47D3"/>
    <w:rsid w:val="00FB58BE"/>
    <w:rsid w:val="00FB5A1B"/>
    <w:rsid w:val="00FB5AE4"/>
    <w:rsid w:val="00FB5C28"/>
    <w:rsid w:val="00FB611D"/>
    <w:rsid w:val="00FB63C8"/>
    <w:rsid w:val="00FB6563"/>
    <w:rsid w:val="00FB7455"/>
    <w:rsid w:val="00FB77D0"/>
    <w:rsid w:val="00FC1A27"/>
    <w:rsid w:val="00FC20B0"/>
    <w:rsid w:val="00FC21FD"/>
    <w:rsid w:val="00FC308E"/>
    <w:rsid w:val="00FC37DF"/>
    <w:rsid w:val="00FC3946"/>
    <w:rsid w:val="00FC3A7E"/>
    <w:rsid w:val="00FC3D36"/>
    <w:rsid w:val="00FC3DE3"/>
    <w:rsid w:val="00FC3E88"/>
    <w:rsid w:val="00FC4087"/>
    <w:rsid w:val="00FC41B1"/>
    <w:rsid w:val="00FC4695"/>
    <w:rsid w:val="00FC473E"/>
    <w:rsid w:val="00FC4D7E"/>
    <w:rsid w:val="00FC5DE4"/>
    <w:rsid w:val="00FC6A0D"/>
    <w:rsid w:val="00FC6A26"/>
    <w:rsid w:val="00FC7CAA"/>
    <w:rsid w:val="00FC7F3F"/>
    <w:rsid w:val="00FD0C83"/>
    <w:rsid w:val="00FD12BD"/>
    <w:rsid w:val="00FD18BE"/>
    <w:rsid w:val="00FD28AE"/>
    <w:rsid w:val="00FD2AD0"/>
    <w:rsid w:val="00FD2B26"/>
    <w:rsid w:val="00FD307C"/>
    <w:rsid w:val="00FD371A"/>
    <w:rsid w:val="00FD3762"/>
    <w:rsid w:val="00FD4331"/>
    <w:rsid w:val="00FD4FD5"/>
    <w:rsid w:val="00FD53D3"/>
    <w:rsid w:val="00FD5773"/>
    <w:rsid w:val="00FD595C"/>
    <w:rsid w:val="00FD6131"/>
    <w:rsid w:val="00FD6189"/>
    <w:rsid w:val="00FD6322"/>
    <w:rsid w:val="00FD6540"/>
    <w:rsid w:val="00FD67EA"/>
    <w:rsid w:val="00FD6A40"/>
    <w:rsid w:val="00FD7B42"/>
    <w:rsid w:val="00FD7BE0"/>
    <w:rsid w:val="00FD7D8F"/>
    <w:rsid w:val="00FE0172"/>
    <w:rsid w:val="00FE135A"/>
    <w:rsid w:val="00FE1953"/>
    <w:rsid w:val="00FE19E4"/>
    <w:rsid w:val="00FE1F7F"/>
    <w:rsid w:val="00FE29A1"/>
    <w:rsid w:val="00FE386E"/>
    <w:rsid w:val="00FE3B31"/>
    <w:rsid w:val="00FE42F7"/>
    <w:rsid w:val="00FE4604"/>
    <w:rsid w:val="00FE4896"/>
    <w:rsid w:val="00FE4907"/>
    <w:rsid w:val="00FE493D"/>
    <w:rsid w:val="00FE4C6A"/>
    <w:rsid w:val="00FE5183"/>
    <w:rsid w:val="00FE5644"/>
    <w:rsid w:val="00FE56E3"/>
    <w:rsid w:val="00FE588E"/>
    <w:rsid w:val="00FE601A"/>
    <w:rsid w:val="00FE6472"/>
    <w:rsid w:val="00FE69BB"/>
    <w:rsid w:val="00FE76EC"/>
    <w:rsid w:val="00FE77A8"/>
    <w:rsid w:val="00FF0B4C"/>
    <w:rsid w:val="00FF0DA6"/>
    <w:rsid w:val="00FF12FE"/>
    <w:rsid w:val="00FF1B80"/>
    <w:rsid w:val="00FF1F7E"/>
    <w:rsid w:val="00FF243F"/>
    <w:rsid w:val="00FF258E"/>
    <w:rsid w:val="00FF28CC"/>
    <w:rsid w:val="00FF292C"/>
    <w:rsid w:val="00FF2CC2"/>
    <w:rsid w:val="00FF2EF0"/>
    <w:rsid w:val="00FF306F"/>
    <w:rsid w:val="00FF4074"/>
    <w:rsid w:val="00FF4261"/>
    <w:rsid w:val="00FF4747"/>
    <w:rsid w:val="00FF4A39"/>
    <w:rsid w:val="00FF5485"/>
    <w:rsid w:val="00FF5636"/>
    <w:rsid w:val="00FF5836"/>
    <w:rsid w:val="00FF5D82"/>
    <w:rsid w:val="00FF60F0"/>
    <w:rsid w:val="00FF70A8"/>
    <w:rsid w:val="00FF7418"/>
    <w:rsid w:val="00FF7F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0FDB18"/>
  <w15:docId w15:val="{C6084B66-7953-41DD-A05C-B72EC53A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6864"/>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character" w:customStyle="1" w:styleId="Menzionenonrisolta1">
    <w:name w:val="Menzione non risolta1"/>
    <w:basedOn w:val="Carpredefinitoparagrafo"/>
    <w:uiPriority w:val="99"/>
    <w:semiHidden/>
    <w:unhideWhenUsed/>
    <w:rsid w:val="00C164AE"/>
    <w:rPr>
      <w:color w:val="605E5C"/>
      <w:shd w:val="clear" w:color="auto" w:fill="E1DFDD"/>
    </w:rPr>
  </w:style>
  <w:style w:type="character" w:customStyle="1" w:styleId="Menzionenonrisolta2">
    <w:name w:val="Menzione non risolta2"/>
    <w:basedOn w:val="Carpredefinitoparagrafo"/>
    <w:uiPriority w:val="99"/>
    <w:semiHidden/>
    <w:unhideWhenUsed/>
    <w:rsid w:val="00ED7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70351">
      <w:bodyDiv w:val="1"/>
      <w:marLeft w:val="0"/>
      <w:marRight w:val="0"/>
      <w:marTop w:val="0"/>
      <w:marBottom w:val="0"/>
      <w:divBdr>
        <w:top w:val="none" w:sz="0" w:space="0" w:color="auto"/>
        <w:left w:val="none" w:sz="0" w:space="0" w:color="auto"/>
        <w:bottom w:val="none" w:sz="0" w:space="0" w:color="auto"/>
        <w:right w:val="none" w:sz="0" w:space="0" w:color="auto"/>
      </w:divBdr>
    </w:div>
    <w:div w:id="131019045">
      <w:bodyDiv w:val="1"/>
      <w:marLeft w:val="0"/>
      <w:marRight w:val="0"/>
      <w:marTop w:val="0"/>
      <w:marBottom w:val="0"/>
      <w:divBdr>
        <w:top w:val="none" w:sz="0" w:space="0" w:color="auto"/>
        <w:left w:val="none" w:sz="0" w:space="0" w:color="auto"/>
        <w:bottom w:val="none" w:sz="0" w:space="0" w:color="auto"/>
        <w:right w:val="none" w:sz="0" w:space="0" w:color="auto"/>
      </w:divBdr>
    </w:div>
    <w:div w:id="132842651">
      <w:bodyDiv w:val="1"/>
      <w:marLeft w:val="0"/>
      <w:marRight w:val="0"/>
      <w:marTop w:val="0"/>
      <w:marBottom w:val="0"/>
      <w:divBdr>
        <w:top w:val="none" w:sz="0" w:space="0" w:color="auto"/>
        <w:left w:val="none" w:sz="0" w:space="0" w:color="auto"/>
        <w:bottom w:val="none" w:sz="0" w:space="0" w:color="auto"/>
        <w:right w:val="none" w:sz="0" w:space="0" w:color="auto"/>
      </w:divBdr>
    </w:div>
    <w:div w:id="151600973">
      <w:bodyDiv w:val="1"/>
      <w:marLeft w:val="0"/>
      <w:marRight w:val="0"/>
      <w:marTop w:val="0"/>
      <w:marBottom w:val="0"/>
      <w:divBdr>
        <w:top w:val="none" w:sz="0" w:space="0" w:color="auto"/>
        <w:left w:val="none" w:sz="0" w:space="0" w:color="auto"/>
        <w:bottom w:val="none" w:sz="0" w:space="0" w:color="auto"/>
        <w:right w:val="none" w:sz="0" w:space="0" w:color="auto"/>
      </w:divBdr>
    </w:div>
    <w:div w:id="161939806">
      <w:bodyDiv w:val="1"/>
      <w:marLeft w:val="0"/>
      <w:marRight w:val="0"/>
      <w:marTop w:val="0"/>
      <w:marBottom w:val="0"/>
      <w:divBdr>
        <w:top w:val="none" w:sz="0" w:space="0" w:color="auto"/>
        <w:left w:val="none" w:sz="0" w:space="0" w:color="auto"/>
        <w:bottom w:val="none" w:sz="0" w:space="0" w:color="auto"/>
        <w:right w:val="none" w:sz="0" w:space="0" w:color="auto"/>
      </w:divBdr>
    </w:div>
    <w:div w:id="205676821">
      <w:bodyDiv w:val="1"/>
      <w:marLeft w:val="0"/>
      <w:marRight w:val="0"/>
      <w:marTop w:val="0"/>
      <w:marBottom w:val="0"/>
      <w:divBdr>
        <w:top w:val="none" w:sz="0" w:space="0" w:color="auto"/>
        <w:left w:val="none" w:sz="0" w:space="0" w:color="auto"/>
        <w:bottom w:val="none" w:sz="0" w:space="0" w:color="auto"/>
        <w:right w:val="none" w:sz="0" w:space="0" w:color="auto"/>
      </w:divBdr>
    </w:div>
    <w:div w:id="228618688">
      <w:bodyDiv w:val="1"/>
      <w:marLeft w:val="0"/>
      <w:marRight w:val="0"/>
      <w:marTop w:val="0"/>
      <w:marBottom w:val="0"/>
      <w:divBdr>
        <w:top w:val="none" w:sz="0" w:space="0" w:color="auto"/>
        <w:left w:val="none" w:sz="0" w:space="0" w:color="auto"/>
        <w:bottom w:val="none" w:sz="0" w:space="0" w:color="auto"/>
        <w:right w:val="none" w:sz="0" w:space="0" w:color="auto"/>
      </w:divBdr>
    </w:div>
    <w:div w:id="310909387">
      <w:bodyDiv w:val="1"/>
      <w:marLeft w:val="0"/>
      <w:marRight w:val="0"/>
      <w:marTop w:val="0"/>
      <w:marBottom w:val="0"/>
      <w:divBdr>
        <w:top w:val="none" w:sz="0" w:space="0" w:color="auto"/>
        <w:left w:val="none" w:sz="0" w:space="0" w:color="auto"/>
        <w:bottom w:val="none" w:sz="0" w:space="0" w:color="auto"/>
        <w:right w:val="none" w:sz="0" w:space="0" w:color="auto"/>
      </w:divBdr>
    </w:div>
    <w:div w:id="349378230">
      <w:bodyDiv w:val="1"/>
      <w:marLeft w:val="0"/>
      <w:marRight w:val="0"/>
      <w:marTop w:val="0"/>
      <w:marBottom w:val="0"/>
      <w:divBdr>
        <w:top w:val="none" w:sz="0" w:space="0" w:color="auto"/>
        <w:left w:val="none" w:sz="0" w:space="0" w:color="auto"/>
        <w:bottom w:val="none" w:sz="0" w:space="0" w:color="auto"/>
        <w:right w:val="none" w:sz="0" w:space="0" w:color="auto"/>
      </w:divBdr>
    </w:div>
    <w:div w:id="369501724">
      <w:bodyDiv w:val="1"/>
      <w:marLeft w:val="0"/>
      <w:marRight w:val="0"/>
      <w:marTop w:val="0"/>
      <w:marBottom w:val="0"/>
      <w:divBdr>
        <w:top w:val="none" w:sz="0" w:space="0" w:color="auto"/>
        <w:left w:val="none" w:sz="0" w:space="0" w:color="auto"/>
        <w:bottom w:val="none" w:sz="0" w:space="0" w:color="auto"/>
        <w:right w:val="none" w:sz="0" w:space="0" w:color="auto"/>
      </w:divBdr>
    </w:div>
    <w:div w:id="400908745">
      <w:bodyDiv w:val="1"/>
      <w:marLeft w:val="0"/>
      <w:marRight w:val="0"/>
      <w:marTop w:val="0"/>
      <w:marBottom w:val="0"/>
      <w:divBdr>
        <w:top w:val="none" w:sz="0" w:space="0" w:color="auto"/>
        <w:left w:val="none" w:sz="0" w:space="0" w:color="auto"/>
        <w:bottom w:val="none" w:sz="0" w:space="0" w:color="auto"/>
        <w:right w:val="none" w:sz="0" w:space="0" w:color="auto"/>
      </w:divBdr>
    </w:div>
    <w:div w:id="404114048">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561479211">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688214368">
      <w:bodyDiv w:val="1"/>
      <w:marLeft w:val="0"/>
      <w:marRight w:val="0"/>
      <w:marTop w:val="0"/>
      <w:marBottom w:val="0"/>
      <w:divBdr>
        <w:top w:val="none" w:sz="0" w:space="0" w:color="auto"/>
        <w:left w:val="none" w:sz="0" w:space="0" w:color="auto"/>
        <w:bottom w:val="none" w:sz="0" w:space="0" w:color="auto"/>
        <w:right w:val="none" w:sz="0" w:space="0" w:color="auto"/>
      </w:divBdr>
    </w:div>
    <w:div w:id="748114000">
      <w:bodyDiv w:val="1"/>
      <w:marLeft w:val="0"/>
      <w:marRight w:val="0"/>
      <w:marTop w:val="0"/>
      <w:marBottom w:val="0"/>
      <w:divBdr>
        <w:top w:val="none" w:sz="0" w:space="0" w:color="auto"/>
        <w:left w:val="none" w:sz="0" w:space="0" w:color="auto"/>
        <w:bottom w:val="none" w:sz="0" w:space="0" w:color="auto"/>
        <w:right w:val="none" w:sz="0" w:space="0" w:color="auto"/>
      </w:divBdr>
    </w:div>
    <w:div w:id="786436464">
      <w:bodyDiv w:val="1"/>
      <w:marLeft w:val="0"/>
      <w:marRight w:val="0"/>
      <w:marTop w:val="0"/>
      <w:marBottom w:val="0"/>
      <w:divBdr>
        <w:top w:val="none" w:sz="0" w:space="0" w:color="auto"/>
        <w:left w:val="none" w:sz="0" w:space="0" w:color="auto"/>
        <w:bottom w:val="none" w:sz="0" w:space="0" w:color="auto"/>
        <w:right w:val="none" w:sz="0" w:space="0" w:color="auto"/>
      </w:divBdr>
    </w:div>
    <w:div w:id="843087146">
      <w:bodyDiv w:val="1"/>
      <w:marLeft w:val="0"/>
      <w:marRight w:val="0"/>
      <w:marTop w:val="0"/>
      <w:marBottom w:val="0"/>
      <w:divBdr>
        <w:top w:val="none" w:sz="0" w:space="0" w:color="auto"/>
        <w:left w:val="none" w:sz="0" w:space="0" w:color="auto"/>
        <w:bottom w:val="none" w:sz="0" w:space="0" w:color="auto"/>
        <w:right w:val="none" w:sz="0" w:space="0" w:color="auto"/>
      </w:divBdr>
    </w:div>
    <w:div w:id="858617214">
      <w:bodyDiv w:val="1"/>
      <w:marLeft w:val="0"/>
      <w:marRight w:val="0"/>
      <w:marTop w:val="0"/>
      <w:marBottom w:val="0"/>
      <w:divBdr>
        <w:top w:val="none" w:sz="0" w:space="0" w:color="auto"/>
        <w:left w:val="none" w:sz="0" w:space="0" w:color="auto"/>
        <w:bottom w:val="none" w:sz="0" w:space="0" w:color="auto"/>
        <w:right w:val="none" w:sz="0" w:space="0" w:color="auto"/>
      </w:divBdr>
    </w:div>
    <w:div w:id="975523897">
      <w:bodyDiv w:val="1"/>
      <w:marLeft w:val="0"/>
      <w:marRight w:val="0"/>
      <w:marTop w:val="0"/>
      <w:marBottom w:val="0"/>
      <w:divBdr>
        <w:top w:val="none" w:sz="0" w:space="0" w:color="auto"/>
        <w:left w:val="none" w:sz="0" w:space="0" w:color="auto"/>
        <w:bottom w:val="none" w:sz="0" w:space="0" w:color="auto"/>
        <w:right w:val="none" w:sz="0" w:space="0" w:color="auto"/>
      </w:divBdr>
    </w:div>
    <w:div w:id="1024138665">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16044099">
      <w:bodyDiv w:val="1"/>
      <w:marLeft w:val="0"/>
      <w:marRight w:val="0"/>
      <w:marTop w:val="0"/>
      <w:marBottom w:val="0"/>
      <w:divBdr>
        <w:top w:val="none" w:sz="0" w:space="0" w:color="auto"/>
        <w:left w:val="none" w:sz="0" w:space="0" w:color="auto"/>
        <w:bottom w:val="none" w:sz="0" w:space="0" w:color="auto"/>
        <w:right w:val="none" w:sz="0" w:space="0" w:color="auto"/>
      </w:divBdr>
    </w:div>
    <w:div w:id="1257665360">
      <w:bodyDiv w:val="1"/>
      <w:marLeft w:val="0"/>
      <w:marRight w:val="0"/>
      <w:marTop w:val="0"/>
      <w:marBottom w:val="0"/>
      <w:divBdr>
        <w:top w:val="none" w:sz="0" w:space="0" w:color="auto"/>
        <w:left w:val="none" w:sz="0" w:space="0" w:color="auto"/>
        <w:bottom w:val="none" w:sz="0" w:space="0" w:color="auto"/>
        <w:right w:val="none" w:sz="0" w:space="0" w:color="auto"/>
      </w:divBdr>
      <w:divsChild>
        <w:div w:id="2123837005">
          <w:marLeft w:val="0"/>
          <w:marRight w:val="0"/>
          <w:marTop w:val="0"/>
          <w:marBottom w:val="90"/>
          <w:divBdr>
            <w:top w:val="none" w:sz="0" w:space="0" w:color="auto"/>
            <w:left w:val="none" w:sz="0" w:space="0" w:color="auto"/>
            <w:bottom w:val="none" w:sz="0" w:space="0" w:color="auto"/>
            <w:right w:val="none" w:sz="0" w:space="0" w:color="auto"/>
          </w:divBdr>
        </w:div>
      </w:divsChild>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280915925">
      <w:bodyDiv w:val="1"/>
      <w:marLeft w:val="0"/>
      <w:marRight w:val="0"/>
      <w:marTop w:val="0"/>
      <w:marBottom w:val="0"/>
      <w:divBdr>
        <w:top w:val="none" w:sz="0" w:space="0" w:color="auto"/>
        <w:left w:val="none" w:sz="0" w:space="0" w:color="auto"/>
        <w:bottom w:val="none" w:sz="0" w:space="0" w:color="auto"/>
        <w:right w:val="none" w:sz="0" w:space="0" w:color="auto"/>
      </w:divBdr>
    </w:div>
    <w:div w:id="1331373353">
      <w:bodyDiv w:val="1"/>
      <w:marLeft w:val="0"/>
      <w:marRight w:val="0"/>
      <w:marTop w:val="0"/>
      <w:marBottom w:val="0"/>
      <w:divBdr>
        <w:top w:val="none" w:sz="0" w:space="0" w:color="auto"/>
        <w:left w:val="none" w:sz="0" w:space="0" w:color="auto"/>
        <w:bottom w:val="none" w:sz="0" w:space="0" w:color="auto"/>
        <w:right w:val="none" w:sz="0" w:space="0" w:color="auto"/>
      </w:divBdr>
    </w:div>
    <w:div w:id="1521041103">
      <w:bodyDiv w:val="1"/>
      <w:marLeft w:val="0"/>
      <w:marRight w:val="0"/>
      <w:marTop w:val="0"/>
      <w:marBottom w:val="0"/>
      <w:divBdr>
        <w:top w:val="none" w:sz="0" w:space="0" w:color="auto"/>
        <w:left w:val="none" w:sz="0" w:space="0" w:color="auto"/>
        <w:bottom w:val="none" w:sz="0" w:space="0" w:color="auto"/>
        <w:right w:val="none" w:sz="0" w:space="0" w:color="auto"/>
      </w:divBdr>
    </w:div>
    <w:div w:id="1554462106">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596160424">
      <w:bodyDiv w:val="1"/>
      <w:marLeft w:val="0"/>
      <w:marRight w:val="0"/>
      <w:marTop w:val="0"/>
      <w:marBottom w:val="0"/>
      <w:divBdr>
        <w:top w:val="none" w:sz="0" w:space="0" w:color="auto"/>
        <w:left w:val="none" w:sz="0" w:space="0" w:color="auto"/>
        <w:bottom w:val="none" w:sz="0" w:space="0" w:color="auto"/>
        <w:right w:val="none" w:sz="0" w:space="0" w:color="auto"/>
      </w:divBdr>
    </w:div>
    <w:div w:id="1613173866">
      <w:bodyDiv w:val="1"/>
      <w:marLeft w:val="0"/>
      <w:marRight w:val="0"/>
      <w:marTop w:val="0"/>
      <w:marBottom w:val="0"/>
      <w:divBdr>
        <w:top w:val="none" w:sz="0" w:space="0" w:color="auto"/>
        <w:left w:val="none" w:sz="0" w:space="0" w:color="auto"/>
        <w:bottom w:val="none" w:sz="0" w:space="0" w:color="auto"/>
        <w:right w:val="none" w:sz="0" w:space="0" w:color="auto"/>
      </w:divBdr>
    </w:div>
    <w:div w:id="170204610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20397666">
      <w:bodyDiv w:val="1"/>
      <w:marLeft w:val="0"/>
      <w:marRight w:val="0"/>
      <w:marTop w:val="0"/>
      <w:marBottom w:val="0"/>
      <w:divBdr>
        <w:top w:val="none" w:sz="0" w:space="0" w:color="auto"/>
        <w:left w:val="none" w:sz="0" w:space="0" w:color="auto"/>
        <w:bottom w:val="none" w:sz="0" w:space="0" w:color="auto"/>
        <w:right w:val="none" w:sz="0" w:space="0" w:color="auto"/>
      </w:divBdr>
    </w:div>
    <w:div w:id="1728412544">
      <w:bodyDiv w:val="1"/>
      <w:marLeft w:val="0"/>
      <w:marRight w:val="0"/>
      <w:marTop w:val="0"/>
      <w:marBottom w:val="0"/>
      <w:divBdr>
        <w:top w:val="none" w:sz="0" w:space="0" w:color="auto"/>
        <w:left w:val="none" w:sz="0" w:space="0" w:color="auto"/>
        <w:bottom w:val="none" w:sz="0" w:space="0" w:color="auto"/>
        <w:right w:val="none" w:sz="0" w:space="0" w:color="auto"/>
      </w:divBdr>
    </w:div>
    <w:div w:id="1762025528">
      <w:bodyDiv w:val="1"/>
      <w:marLeft w:val="0"/>
      <w:marRight w:val="0"/>
      <w:marTop w:val="0"/>
      <w:marBottom w:val="0"/>
      <w:divBdr>
        <w:top w:val="none" w:sz="0" w:space="0" w:color="auto"/>
        <w:left w:val="none" w:sz="0" w:space="0" w:color="auto"/>
        <w:bottom w:val="none" w:sz="0" w:space="0" w:color="auto"/>
        <w:right w:val="none" w:sz="0" w:space="0" w:color="auto"/>
      </w:divBdr>
    </w:div>
    <w:div w:id="1773166303">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16409276">
      <w:bodyDiv w:val="1"/>
      <w:marLeft w:val="0"/>
      <w:marRight w:val="0"/>
      <w:marTop w:val="0"/>
      <w:marBottom w:val="0"/>
      <w:divBdr>
        <w:top w:val="none" w:sz="0" w:space="0" w:color="auto"/>
        <w:left w:val="none" w:sz="0" w:space="0" w:color="auto"/>
        <w:bottom w:val="none" w:sz="0" w:space="0" w:color="auto"/>
        <w:right w:val="none" w:sz="0" w:space="0" w:color="auto"/>
      </w:divBdr>
    </w:div>
    <w:div w:id="1934243663">
      <w:bodyDiv w:val="1"/>
      <w:marLeft w:val="0"/>
      <w:marRight w:val="0"/>
      <w:marTop w:val="0"/>
      <w:marBottom w:val="0"/>
      <w:divBdr>
        <w:top w:val="none" w:sz="0" w:space="0" w:color="auto"/>
        <w:left w:val="none" w:sz="0" w:space="0" w:color="auto"/>
        <w:bottom w:val="none" w:sz="0" w:space="0" w:color="auto"/>
        <w:right w:val="none" w:sz="0" w:space="0" w:color="auto"/>
      </w:divBdr>
    </w:div>
    <w:div w:id="2008971095">
      <w:bodyDiv w:val="1"/>
      <w:marLeft w:val="0"/>
      <w:marRight w:val="0"/>
      <w:marTop w:val="0"/>
      <w:marBottom w:val="0"/>
      <w:divBdr>
        <w:top w:val="none" w:sz="0" w:space="0" w:color="auto"/>
        <w:left w:val="none" w:sz="0" w:space="0" w:color="auto"/>
        <w:bottom w:val="none" w:sz="0" w:space="0" w:color="auto"/>
        <w:right w:val="none" w:sz="0" w:space="0" w:color="auto"/>
      </w:divBdr>
    </w:div>
    <w:div w:id="2014915670">
      <w:bodyDiv w:val="1"/>
      <w:marLeft w:val="0"/>
      <w:marRight w:val="0"/>
      <w:marTop w:val="0"/>
      <w:marBottom w:val="0"/>
      <w:divBdr>
        <w:top w:val="none" w:sz="0" w:space="0" w:color="auto"/>
        <w:left w:val="none" w:sz="0" w:space="0" w:color="auto"/>
        <w:bottom w:val="none" w:sz="0" w:space="0" w:color="auto"/>
        <w:right w:val="none" w:sz="0" w:space="0" w:color="auto"/>
      </w:divBdr>
    </w:div>
    <w:div w:id="2047753462">
      <w:bodyDiv w:val="1"/>
      <w:marLeft w:val="0"/>
      <w:marRight w:val="0"/>
      <w:marTop w:val="0"/>
      <w:marBottom w:val="0"/>
      <w:divBdr>
        <w:top w:val="none" w:sz="0" w:space="0" w:color="auto"/>
        <w:left w:val="none" w:sz="0" w:space="0" w:color="auto"/>
        <w:bottom w:val="none" w:sz="0" w:space="0" w:color="auto"/>
        <w:right w:val="none" w:sz="0" w:space="0" w:color="auto"/>
      </w:divBdr>
    </w:div>
    <w:div w:id="2076976501">
      <w:bodyDiv w:val="1"/>
      <w:marLeft w:val="0"/>
      <w:marRight w:val="0"/>
      <w:marTop w:val="0"/>
      <w:marBottom w:val="0"/>
      <w:divBdr>
        <w:top w:val="none" w:sz="0" w:space="0" w:color="auto"/>
        <w:left w:val="none" w:sz="0" w:space="0" w:color="auto"/>
        <w:bottom w:val="none" w:sz="0" w:space="0" w:color="auto"/>
        <w:right w:val="none" w:sz="0" w:space="0" w:color="auto"/>
      </w:divBdr>
    </w:div>
    <w:div w:id="208872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dati.istat.i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yperlink" Target="http://www.istat.it/it/archivio/6747"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istat.it/it/archivio/6789"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anpr.interno.it/" TargetMode="External"/><Relationship Id="rId28" Type="http://schemas.openxmlformats.org/officeDocument/2006/relationships/hyperlink" Target="http://noi-italia.istat.it/" TargetMode="Externa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footer" Target="footer4.xml"/><Relationship Id="rId27" Type="http://schemas.openxmlformats.org/officeDocument/2006/relationships/hyperlink" Target="https://demo.istat.it/" TargetMode="Externa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mailto:miccoli@istat.it" TargetMode="External"/><Relationship Id="rId1" Type="http://schemas.openxmlformats.org/officeDocument/2006/relationships/hyperlink" Target="mailto:licari@istat.i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isa\DISA\DCSA\DEM\LICARI\ISCAN%202024\COMUNICATO\tabelle_2024_F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sa\DISA\DCSA\DEM\LICARI\ISCAN%202024\COMUNICATO\tabelle_2024_F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sa\DISA\DCSA\DEM\LICARI\ISCAN%202024\COMUNICATO\tabelle_2024_F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isa\DISA\DCSA\DEM\LICARI\ISCAN%202024\COMUNICATO\tabelle_2024_F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isa\DISA\DCSA\DEM\LICARI\ISCAN%202024\COMUNICATO\tabelle_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nzalucia.vaccaro\Downloads\SR_Migrazioni_23_24_Figu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nzalucia.vaccaro\Downloads\SR_Migrazioni_23_24_Figu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isa\DISA\DCSA\DEM\LICARI\ISCAN%202024\COMUNICATO\figura%207_revSM1706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785030538137003"/>
          <c:y val="0.12270223463799915"/>
          <c:w val="0.84724671993985035"/>
          <c:h val="0.7512295454224337"/>
        </c:manualLayout>
      </c:layout>
      <c:barChart>
        <c:barDir val="bar"/>
        <c:grouping val="stacked"/>
        <c:varyColors val="0"/>
        <c:ser>
          <c:idx val="0"/>
          <c:order val="0"/>
          <c:tx>
            <c:strRef>
              <c:f>'MEZZOGIORNO-CN GRAF'!$O$29</c:f>
              <c:strCache>
                <c:ptCount val="1"/>
                <c:pt idx="0">
                  <c:v>Lombardia</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GRAF'!$O$31:$O$40</c:f>
              <c:numCache>
                <c:formatCode>0.0</c:formatCode>
                <c:ptCount val="10"/>
                <c:pt idx="0">
                  <c:v>19.342868708676292</c:v>
                </c:pt>
                <c:pt idx="1">
                  <c:v>19.428571428571427</c:v>
                </c:pt>
                <c:pt idx="2">
                  <c:v>25.475650200733114</c:v>
                </c:pt>
                <c:pt idx="3">
                  <c:v>28.080077405086616</c:v>
                </c:pt>
                <c:pt idx="4">
                  <c:v>24.378169524269499</c:v>
                </c:pt>
                <c:pt idx="5">
                  <c:v>32.358723917041921</c:v>
                </c:pt>
                <c:pt idx="6">
                  <c:v>30.7758295302474</c:v>
                </c:pt>
                <c:pt idx="7">
                  <c:v>26.239499258771211</c:v>
                </c:pt>
                <c:pt idx="9">
                  <c:v>27.641639949963135</c:v>
                </c:pt>
              </c:numCache>
            </c:numRef>
          </c:val>
          <c:extLst>
            <c:ext xmlns:c16="http://schemas.microsoft.com/office/drawing/2014/chart" uri="{C3380CC4-5D6E-409C-BE32-E72D297353CC}">
              <c16:uniqueId val="{00000000-E668-4CE4-AC55-D444537CFBC8}"/>
            </c:ext>
          </c:extLst>
        </c:ser>
        <c:ser>
          <c:idx val="2"/>
          <c:order val="1"/>
          <c:tx>
            <c:strRef>
              <c:f>'MEZZOGIORNO-CN GRAF'!$P$29</c:f>
              <c:strCache>
                <c:ptCount val="1"/>
                <c:pt idx="0">
                  <c:v>Emilia-Romagna</c:v>
                </c:pt>
              </c:strCache>
            </c:strRef>
          </c:tx>
          <c:spPr>
            <a:solidFill>
              <a:srgbClr val="E4261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GRAF'!$P$31:$P$40</c:f>
              <c:numCache>
                <c:formatCode>0.0</c:formatCode>
                <c:ptCount val="10"/>
                <c:pt idx="0">
                  <c:v>14.694373228983942</c:v>
                </c:pt>
                <c:pt idx="1">
                  <c:v>20.166666666666664</c:v>
                </c:pt>
                <c:pt idx="2">
                  <c:v>15.798277768080526</c:v>
                </c:pt>
                <c:pt idx="3">
                  <c:v>20.468577220788795</c:v>
                </c:pt>
                <c:pt idx="4">
                  <c:v>20.466070997343635</c:v>
                </c:pt>
                <c:pt idx="5">
                  <c:v>14.860150948182913</c:v>
                </c:pt>
                <c:pt idx="6">
                  <c:v>14.617575404042139</c:v>
                </c:pt>
                <c:pt idx="7">
                  <c:v>12.460879591500577</c:v>
                </c:pt>
                <c:pt idx="9">
                  <c:v>16.230915161004383</c:v>
                </c:pt>
              </c:numCache>
            </c:numRef>
          </c:val>
          <c:extLst>
            <c:ext xmlns:c16="http://schemas.microsoft.com/office/drawing/2014/chart" uri="{C3380CC4-5D6E-409C-BE32-E72D297353CC}">
              <c16:uniqueId val="{00000001-E668-4CE4-AC55-D444537CFBC8}"/>
            </c:ext>
          </c:extLst>
        </c:ser>
        <c:ser>
          <c:idx val="1"/>
          <c:order val="2"/>
          <c:tx>
            <c:strRef>
              <c:f>'MEZZOGIORNO-CN GRAF'!$R$29</c:f>
              <c:strCache>
                <c:ptCount val="1"/>
                <c:pt idx="0">
                  <c:v>Veneto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GRAF'!$R$31:$R$40</c:f>
              <c:numCache>
                <c:formatCode>0.0</c:formatCode>
                <c:ptCount val="10"/>
                <c:pt idx="0">
                  <c:v>6.8344352988800425</c:v>
                </c:pt>
                <c:pt idx="1">
                  <c:v>7.5714285714285721</c:v>
                </c:pt>
                <c:pt idx="2">
                  <c:v>8.0845988246930816</c:v>
                </c:pt>
                <c:pt idx="3">
                  <c:v>8.406284555842241</c:v>
                </c:pt>
                <c:pt idx="4">
                  <c:v>6.8340980439507373</c:v>
                </c:pt>
                <c:pt idx="5">
                  <c:v>7.5918056700704009</c:v>
                </c:pt>
                <c:pt idx="6">
                  <c:v>10.95803451943863</c:v>
                </c:pt>
                <c:pt idx="7">
                  <c:v>8.9276890133421194</c:v>
                </c:pt>
                <c:pt idx="9">
                  <c:v>8.6856210287380602</c:v>
                </c:pt>
              </c:numCache>
            </c:numRef>
          </c:val>
          <c:extLst>
            <c:ext xmlns:c16="http://schemas.microsoft.com/office/drawing/2014/chart" uri="{C3380CC4-5D6E-409C-BE32-E72D297353CC}">
              <c16:uniqueId val="{00000002-E668-4CE4-AC55-D444537CFBC8}"/>
            </c:ext>
          </c:extLst>
        </c:ser>
        <c:ser>
          <c:idx val="5"/>
          <c:order val="3"/>
          <c:tx>
            <c:strRef>
              <c:f>'MEZZOGIORNO-CN GRAF'!$T$29</c:f>
              <c:strCache>
                <c:ptCount val="1"/>
                <c:pt idx="0">
                  <c:v>Altre reg Nord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GRAF'!$T$31:$T$40</c:f>
              <c:numCache>
                <c:formatCode>0.0</c:formatCode>
                <c:ptCount val="10"/>
                <c:pt idx="0">
                  <c:v>12.191337201457292</c:v>
                </c:pt>
                <c:pt idx="1">
                  <c:v>14.095238095238095</c:v>
                </c:pt>
                <c:pt idx="2">
                  <c:v>16.637574911270146</c:v>
                </c:pt>
                <c:pt idx="3">
                  <c:v>18.853667526723182</c:v>
                </c:pt>
                <c:pt idx="4">
                  <c:v>17.242212026080654</c:v>
                </c:pt>
                <c:pt idx="5">
                  <c:v>19.45202004185958</c:v>
                </c:pt>
                <c:pt idx="6">
                  <c:v>23.106749476718253</c:v>
                </c:pt>
                <c:pt idx="7">
                  <c:v>24.205238016801186</c:v>
                </c:pt>
                <c:pt idx="9">
                  <c:v>19.049630936700051</c:v>
                </c:pt>
              </c:numCache>
            </c:numRef>
          </c:val>
          <c:extLst>
            <c:ext xmlns:c16="http://schemas.microsoft.com/office/drawing/2014/chart" uri="{C3380CC4-5D6E-409C-BE32-E72D297353CC}">
              <c16:uniqueId val="{00000003-E668-4CE4-AC55-D444537CFBC8}"/>
            </c:ext>
          </c:extLst>
        </c:ser>
        <c:ser>
          <c:idx val="4"/>
          <c:order val="4"/>
          <c:tx>
            <c:strRef>
              <c:f>'MEZZOGIORNO-CN GRAF'!$Q$29</c:f>
              <c:strCache>
                <c:ptCount val="1"/>
                <c:pt idx="0">
                  <c:v>Lazio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GRAF'!$Q$31:$Q$40</c:f>
              <c:numCache>
                <c:formatCode>0.0</c:formatCode>
                <c:ptCount val="10"/>
                <c:pt idx="0">
                  <c:v>25.968155444609366</c:v>
                </c:pt>
                <c:pt idx="1">
                  <c:v>24.761904761904763</c:v>
                </c:pt>
                <c:pt idx="2">
                  <c:v>19.4289288415663</c:v>
                </c:pt>
                <c:pt idx="3">
                  <c:v>13.009122742351639</c:v>
                </c:pt>
                <c:pt idx="4">
                  <c:v>16.867906302825407</c:v>
                </c:pt>
                <c:pt idx="5">
                  <c:v>15.047250586668358</c:v>
                </c:pt>
                <c:pt idx="6">
                  <c:v>10.261469306523008</c:v>
                </c:pt>
                <c:pt idx="7">
                  <c:v>14.948113984516553</c:v>
                </c:pt>
                <c:pt idx="9">
                  <c:v>15.670071493070225</c:v>
                </c:pt>
              </c:numCache>
            </c:numRef>
          </c:val>
          <c:extLst>
            <c:ext xmlns:c16="http://schemas.microsoft.com/office/drawing/2014/chart" uri="{C3380CC4-5D6E-409C-BE32-E72D297353CC}">
              <c16:uniqueId val="{00000004-E668-4CE4-AC55-D444537CFBC8}"/>
            </c:ext>
          </c:extLst>
        </c:ser>
        <c:ser>
          <c:idx val="3"/>
          <c:order val="5"/>
          <c:tx>
            <c:strRef>
              <c:f>'MEZZOGIORNO-CN GRAF'!$S$29</c:f>
              <c:strCache>
                <c:ptCount val="1"/>
                <c:pt idx="0">
                  <c:v>Toscana</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GRAF'!$S$31:$S$40</c:f>
              <c:numCache>
                <c:formatCode>0.0</c:formatCode>
                <c:ptCount val="10"/>
                <c:pt idx="0">
                  <c:v>5.8696532181891783</c:v>
                </c:pt>
                <c:pt idx="1">
                  <c:v>6.6904761904761916</c:v>
                </c:pt>
                <c:pt idx="2">
                  <c:v>10.058474428347006</c:v>
                </c:pt>
                <c:pt idx="3">
                  <c:v>6.0150202727607818</c:v>
                </c:pt>
                <c:pt idx="4">
                  <c:v>8.5607341221927076</c:v>
                </c:pt>
                <c:pt idx="5">
                  <c:v>7.6425445550834024</c:v>
                </c:pt>
                <c:pt idx="6">
                  <c:v>7.4649143876745701</c:v>
                </c:pt>
                <c:pt idx="7">
                  <c:v>9.6689178059627743</c:v>
                </c:pt>
                <c:pt idx="9">
                  <c:v>8.0029988981948623</c:v>
                </c:pt>
              </c:numCache>
            </c:numRef>
          </c:val>
          <c:extLst>
            <c:ext xmlns:c16="http://schemas.microsoft.com/office/drawing/2014/chart" uri="{C3380CC4-5D6E-409C-BE32-E72D297353CC}">
              <c16:uniqueId val="{00000005-E668-4CE4-AC55-D444537CFBC8}"/>
            </c:ext>
          </c:extLst>
        </c:ser>
        <c:ser>
          <c:idx val="6"/>
          <c:order val="6"/>
          <c:tx>
            <c:strRef>
              <c:f>'MEZZOGIORNO-CN GRAF'!$U$29</c:f>
              <c:strCache>
                <c:ptCount val="1"/>
                <c:pt idx="0">
                  <c:v>Altre reg Centro</c:v>
                </c:pt>
              </c:strCache>
            </c:strRef>
          </c:tx>
          <c:spPr>
            <a:solidFill>
              <a:schemeClr val="accent5">
                <a:tint val="4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'MEZZOGIORNO-CN GRAF'!$N$31:$N$40</c:f>
              <c:strCache>
                <c:ptCount val="10"/>
                <c:pt idx="0">
                  <c:v>Abruzzo</c:v>
                </c:pt>
                <c:pt idx="1">
                  <c:v>Molise</c:v>
                </c:pt>
                <c:pt idx="2">
                  <c:v>Campania</c:v>
                </c:pt>
                <c:pt idx="3">
                  <c:v>Puglia</c:v>
                </c:pt>
                <c:pt idx="4">
                  <c:v>Basilicata</c:v>
                </c:pt>
                <c:pt idx="5">
                  <c:v>Calabria</c:v>
                </c:pt>
                <c:pt idx="6">
                  <c:v>Sicilia</c:v>
                </c:pt>
                <c:pt idx="7">
                  <c:v>Sardegna</c:v>
                </c:pt>
                <c:pt idx="9">
                  <c:v>Mezzogiorno</c:v>
                </c:pt>
              </c:strCache>
            </c:strRef>
          </c:cat>
          <c:val>
            <c:numRef>
              <c:f>'MEZZOGIORNO-CN GRAF'!$U$31:$U$40</c:f>
              <c:numCache>
                <c:formatCode>0.0</c:formatCode>
                <c:ptCount val="10"/>
                <c:pt idx="0">
                  <c:v>15.099176899203886</c:v>
                </c:pt>
                <c:pt idx="1">
                  <c:v>7.2857142857142856</c:v>
                </c:pt>
                <c:pt idx="2">
                  <c:v>4.516495025309827</c:v>
                </c:pt>
                <c:pt idx="3">
                  <c:v>5.1672502764467376</c:v>
                </c:pt>
                <c:pt idx="4">
                  <c:v>5.6508089833373587</c:v>
                </c:pt>
                <c:pt idx="5">
                  <c:v>3.0475042810934232</c:v>
                </c:pt>
                <c:pt idx="6">
                  <c:v>2.8154273753560033</c:v>
                </c:pt>
                <c:pt idx="7">
                  <c:v>3.5496623291055838</c:v>
                </c:pt>
                <c:pt idx="9">
                  <c:v>4.7191225323292825</c:v>
                </c:pt>
              </c:numCache>
            </c:numRef>
          </c:val>
          <c:extLst>
            <c:ext xmlns:c16="http://schemas.microsoft.com/office/drawing/2014/chart" uri="{C3380CC4-5D6E-409C-BE32-E72D297353CC}">
              <c16:uniqueId val="{00000006-E668-4CE4-AC55-D444537CFBC8}"/>
            </c:ext>
          </c:extLst>
        </c:ser>
        <c:dLbls>
          <c:dLblPos val="ctr"/>
          <c:showLegendKey val="0"/>
          <c:showVal val="1"/>
          <c:showCatName val="0"/>
          <c:showSerName val="0"/>
          <c:showPercent val="0"/>
          <c:showBubbleSize val="0"/>
        </c:dLbls>
        <c:gapWidth val="50"/>
        <c:overlap val="100"/>
        <c:axId val="1326539935"/>
        <c:axId val="1326538271"/>
      </c:barChart>
      <c:catAx>
        <c:axId val="1326539935"/>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326538271"/>
        <c:crosses val="autoZero"/>
        <c:auto val="1"/>
        <c:lblAlgn val="ctr"/>
        <c:lblOffset val="100"/>
        <c:noMultiLvlLbl val="0"/>
      </c:catAx>
      <c:valAx>
        <c:axId val="1326538271"/>
        <c:scaling>
          <c:orientation val="minMax"/>
          <c:max val="100"/>
        </c:scaling>
        <c:delete val="0"/>
        <c:axPos val="b"/>
        <c:majorGridlines>
          <c:spPr>
            <a:ln w="3175" cap="flat" cmpd="sng" algn="ctr">
              <a:solidFill>
                <a:schemeClr val="bg1"/>
              </a:solidFill>
              <a:round/>
            </a:ln>
            <a:effectLst/>
          </c:spPr>
        </c:majorGridlines>
        <c:numFmt formatCode="0.0"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326539935"/>
        <c:crosses val="autoZero"/>
        <c:crossBetween val="between"/>
      </c:valAx>
      <c:spPr>
        <a:noFill/>
        <a:ln>
          <a:noFill/>
        </a:ln>
        <a:effectLst/>
      </c:spPr>
    </c:plotArea>
    <c:legend>
      <c:legendPos val="t"/>
      <c:layout>
        <c:manualLayout>
          <c:xMode val="edge"/>
          <c:yMode val="edge"/>
          <c:x val="0.12819311490750848"/>
          <c:y val="2.0507562163547807E-2"/>
          <c:w val="0.7553807833248144"/>
          <c:h val="8.2481980190825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900">
          <a:solidFill>
            <a:schemeClr val="tx1">
              <a:lumMod val="95000"/>
              <a:lumOff val="5000"/>
            </a:schemeClr>
          </a:solidFill>
          <a:latin typeface="Arial Narrow" panose="020B0606020202030204" pitchFamily="34"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9265798016632E-2"/>
          <c:y val="0.12605354837755556"/>
          <c:w val="0.90209313726272966"/>
          <c:h val="0.63464271151778151"/>
        </c:manualLayout>
      </c:layout>
      <c:barChart>
        <c:barDir val="col"/>
        <c:grouping val="clustered"/>
        <c:varyColors val="0"/>
        <c:ser>
          <c:idx val="1"/>
          <c:order val="0"/>
          <c:tx>
            <c:strRef>
              <c:f>immi!$U$2</c:f>
              <c:strCache>
                <c:ptCount val="1"/>
                <c:pt idx="0">
                  <c:v>2023</c:v>
                </c:pt>
              </c:strCache>
            </c:strRef>
          </c:tx>
          <c:spPr>
            <a:solidFill>
              <a:schemeClr val="tx2"/>
            </a:solidFill>
            <a:ln>
              <a:noFill/>
            </a:ln>
            <a:effectLst/>
          </c:spPr>
          <c:invertIfNegative val="0"/>
          <c:dLbls>
            <c:delete val="1"/>
          </c:dLbls>
          <c:cat>
            <c:strRef>
              <c:f>immi!$S$3:$S$17</c:f>
              <c:strCache>
                <c:ptCount val="15"/>
                <c:pt idx="0">
                  <c:v>Ucraina</c:v>
                </c:pt>
                <c:pt idx="1">
                  <c:v>Albania</c:v>
                </c:pt>
                <c:pt idx="2">
                  <c:v>Bangladesh</c:v>
                </c:pt>
                <c:pt idx="3">
                  <c:v>Marocco</c:v>
                </c:pt>
                <c:pt idx="4">
                  <c:v>Romania</c:v>
                </c:pt>
                <c:pt idx="5">
                  <c:v>Egitto</c:v>
                </c:pt>
                <c:pt idx="6">
                  <c:v>Pakistan</c:v>
                </c:pt>
                <c:pt idx="7">
                  <c:v>Argentina</c:v>
                </c:pt>
                <c:pt idx="8">
                  <c:v>Tunisia</c:v>
                </c:pt>
                <c:pt idx="9">
                  <c:v>Brasile</c:v>
                </c:pt>
                <c:pt idx="10">
                  <c:v>India</c:v>
                </c:pt>
                <c:pt idx="11">
                  <c:v>Perù</c:v>
                </c:pt>
                <c:pt idx="12">
                  <c:v>Cina</c:v>
                </c:pt>
                <c:pt idx="13">
                  <c:v>Senegal</c:v>
                </c:pt>
                <c:pt idx="14">
                  <c:v>Nigeria</c:v>
                </c:pt>
              </c:strCache>
            </c:strRef>
          </c:cat>
          <c:val>
            <c:numRef>
              <c:f>immi!$U$3:$U$17</c:f>
              <c:numCache>
                <c:formatCode>General</c:formatCode>
                <c:ptCount val="15"/>
                <c:pt idx="0">
                  <c:v>34238</c:v>
                </c:pt>
                <c:pt idx="1">
                  <c:v>29981</c:v>
                </c:pt>
                <c:pt idx="2">
                  <c:v>25931</c:v>
                </c:pt>
                <c:pt idx="3">
                  <c:v>20679</c:v>
                </c:pt>
                <c:pt idx="4">
                  <c:v>23597</c:v>
                </c:pt>
                <c:pt idx="5">
                  <c:v>21399</c:v>
                </c:pt>
                <c:pt idx="6">
                  <c:v>20292</c:v>
                </c:pt>
                <c:pt idx="7">
                  <c:v>16727</c:v>
                </c:pt>
                <c:pt idx="8">
                  <c:v>12574</c:v>
                </c:pt>
                <c:pt idx="9">
                  <c:v>14408</c:v>
                </c:pt>
                <c:pt idx="10">
                  <c:v>13650</c:v>
                </c:pt>
                <c:pt idx="11">
                  <c:v>11311</c:v>
                </c:pt>
                <c:pt idx="12">
                  <c:v>8043</c:v>
                </c:pt>
                <c:pt idx="13">
                  <c:v>6138</c:v>
                </c:pt>
                <c:pt idx="14">
                  <c:v>5800</c:v>
                </c:pt>
              </c:numCache>
            </c:numRef>
          </c:val>
          <c:extLst>
            <c:ext xmlns:c16="http://schemas.microsoft.com/office/drawing/2014/chart" uri="{C3380CC4-5D6E-409C-BE32-E72D297353CC}">
              <c16:uniqueId val="{00000000-B2F7-484B-AE09-6B163339913A}"/>
            </c:ext>
          </c:extLst>
        </c:ser>
        <c:ser>
          <c:idx val="2"/>
          <c:order val="1"/>
          <c:tx>
            <c:strRef>
              <c:f>immi!$V$2</c:f>
              <c:strCache>
                <c:ptCount val="1"/>
                <c:pt idx="0">
                  <c:v>2024</c:v>
                </c:pt>
              </c:strCache>
            </c:strRef>
          </c:tx>
          <c:spPr>
            <a:solidFill>
              <a:srgbClr val="E42618"/>
            </a:solidFill>
            <a:ln>
              <a:noFill/>
            </a:ln>
            <a:effectLst/>
          </c:spPr>
          <c:invertIfNegative val="0"/>
          <c:dLbls>
            <c:delete val="1"/>
          </c:dLbls>
          <c:cat>
            <c:strRef>
              <c:f>immi!$S$3:$S$17</c:f>
              <c:strCache>
                <c:ptCount val="15"/>
                <c:pt idx="0">
                  <c:v>Ucraina</c:v>
                </c:pt>
                <c:pt idx="1">
                  <c:v>Albania</c:v>
                </c:pt>
                <c:pt idx="2">
                  <c:v>Bangladesh</c:v>
                </c:pt>
                <c:pt idx="3">
                  <c:v>Marocco</c:v>
                </c:pt>
                <c:pt idx="4">
                  <c:v>Romania</c:v>
                </c:pt>
                <c:pt idx="5">
                  <c:v>Egitto</c:v>
                </c:pt>
                <c:pt idx="6">
                  <c:v>Pakistan</c:v>
                </c:pt>
                <c:pt idx="7">
                  <c:v>Argentina</c:v>
                </c:pt>
                <c:pt idx="8">
                  <c:v>Tunisia</c:v>
                </c:pt>
                <c:pt idx="9">
                  <c:v>Brasile</c:v>
                </c:pt>
                <c:pt idx="10">
                  <c:v>India</c:v>
                </c:pt>
                <c:pt idx="11">
                  <c:v>Perù</c:v>
                </c:pt>
                <c:pt idx="12">
                  <c:v>Cina</c:v>
                </c:pt>
                <c:pt idx="13">
                  <c:v>Senegal</c:v>
                </c:pt>
                <c:pt idx="14">
                  <c:v>Nigeria</c:v>
                </c:pt>
              </c:strCache>
            </c:strRef>
          </c:cat>
          <c:val>
            <c:numRef>
              <c:f>immi!$V$3:$V$17</c:f>
              <c:numCache>
                <c:formatCode>General</c:formatCode>
                <c:ptCount val="15"/>
                <c:pt idx="0">
                  <c:v>24740</c:v>
                </c:pt>
                <c:pt idx="1">
                  <c:v>26946</c:v>
                </c:pt>
                <c:pt idx="2">
                  <c:v>29665</c:v>
                </c:pt>
                <c:pt idx="3">
                  <c:v>23680</c:v>
                </c:pt>
                <c:pt idx="4">
                  <c:v>18952</c:v>
                </c:pt>
                <c:pt idx="5">
                  <c:v>20282</c:v>
                </c:pt>
                <c:pt idx="6">
                  <c:v>21073</c:v>
                </c:pt>
                <c:pt idx="7">
                  <c:v>16588</c:v>
                </c:pt>
                <c:pt idx="8">
                  <c:v>17706</c:v>
                </c:pt>
                <c:pt idx="9">
                  <c:v>14019</c:v>
                </c:pt>
                <c:pt idx="10">
                  <c:v>13678</c:v>
                </c:pt>
                <c:pt idx="11">
                  <c:v>15156</c:v>
                </c:pt>
                <c:pt idx="12">
                  <c:v>6787</c:v>
                </c:pt>
                <c:pt idx="13">
                  <c:v>7651</c:v>
                </c:pt>
                <c:pt idx="14">
                  <c:v>5299</c:v>
                </c:pt>
              </c:numCache>
            </c:numRef>
          </c:val>
          <c:extLst>
            <c:ext xmlns:c16="http://schemas.microsoft.com/office/drawing/2014/chart" uri="{C3380CC4-5D6E-409C-BE32-E72D297353CC}">
              <c16:uniqueId val="{00000001-B2F7-484B-AE09-6B163339913A}"/>
            </c:ext>
          </c:extLst>
        </c:ser>
        <c:dLbls>
          <c:dLblPos val="outEnd"/>
          <c:showLegendKey val="0"/>
          <c:showVal val="1"/>
          <c:showCatName val="0"/>
          <c:showSerName val="0"/>
          <c:showPercent val="0"/>
          <c:showBubbleSize val="0"/>
        </c:dLbls>
        <c:gapWidth val="90"/>
        <c:axId val="1126212879"/>
        <c:axId val="1126225839"/>
      </c:barChart>
      <c:lineChart>
        <c:grouping val="standard"/>
        <c:varyColors val="0"/>
        <c:ser>
          <c:idx val="0"/>
          <c:order val="2"/>
          <c:tx>
            <c:strRef>
              <c:f>immi!$X$2</c:f>
              <c:strCache>
                <c:ptCount val="1"/>
                <c:pt idx="0">
                  <c:v>media 2023-24</c:v>
                </c:pt>
              </c:strCache>
            </c:strRef>
          </c:tx>
          <c:spPr>
            <a:ln w="28575" cap="rnd">
              <a:noFill/>
              <a:round/>
            </a:ln>
            <a:effectLst/>
          </c:spPr>
          <c:marker>
            <c:symbol val="triangle"/>
            <c:size val="12"/>
            <c:spPr>
              <a:solidFill>
                <a:schemeClr val="accent3"/>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immi!$S$3:$S$17</c:f>
              <c:strCache>
                <c:ptCount val="15"/>
                <c:pt idx="0">
                  <c:v>Ucraina</c:v>
                </c:pt>
                <c:pt idx="1">
                  <c:v>Albania</c:v>
                </c:pt>
                <c:pt idx="2">
                  <c:v>Bangladesh</c:v>
                </c:pt>
                <c:pt idx="3">
                  <c:v>Marocco</c:v>
                </c:pt>
                <c:pt idx="4">
                  <c:v>Romania</c:v>
                </c:pt>
                <c:pt idx="5">
                  <c:v>Egitto</c:v>
                </c:pt>
                <c:pt idx="6">
                  <c:v>Pakistan</c:v>
                </c:pt>
                <c:pt idx="7">
                  <c:v>Argentina</c:v>
                </c:pt>
                <c:pt idx="8">
                  <c:v>Tunisia</c:v>
                </c:pt>
                <c:pt idx="9">
                  <c:v>Brasile</c:v>
                </c:pt>
                <c:pt idx="10">
                  <c:v>India</c:v>
                </c:pt>
                <c:pt idx="11">
                  <c:v>Perù</c:v>
                </c:pt>
                <c:pt idx="12">
                  <c:v>Cina</c:v>
                </c:pt>
                <c:pt idx="13">
                  <c:v>Senegal</c:v>
                </c:pt>
                <c:pt idx="14">
                  <c:v>Nigeria</c:v>
                </c:pt>
              </c:strCache>
            </c:strRef>
          </c:cat>
          <c:val>
            <c:numRef>
              <c:f>immi!$X$3:$X$17</c:f>
              <c:numCache>
                <c:formatCode>0.0</c:formatCode>
                <c:ptCount val="15"/>
                <c:pt idx="0">
                  <c:v>29.489000000000001</c:v>
                </c:pt>
                <c:pt idx="1">
                  <c:v>28.4635</c:v>
                </c:pt>
                <c:pt idx="2">
                  <c:v>27.797999999999998</c:v>
                </c:pt>
                <c:pt idx="3">
                  <c:v>22.179500000000001</c:v>
                </c:pt>
                <c:pt idx="4">
                  <c:v>21.2745</c:v>
                </c:pt>
                <c:pt idx="5">
                  <c:v>20.840499999999999</c:v>
                </c:pt>
                <c:pt idx="6">
                  <c:v>20.682500000000001</c:v>
                </c:pt>
                <c:pt idx="7">
                  <c:v>16.657499999999999</c:v>
                </c:pt>
                <c:pt idx="8">
                  <c:v>15.14</c:v>
                </c:pt>
                <c:pt idx="9">
                  <c:v>14.2135</c:v>
                </c:pt>
                <c:pt idx="10">
                  <c:v>13.664</c:v>
                </c:pt>
                <c:pt idx="11">
                  <c:v>13.233499999999999</c:v>
                </c:pt>
                <c:pt idx="12">
                  <c:v>7.415</c:v>
                </c:pt>
                <c:pt idx="13">
                  <c:v>6.8944999999999999</c:v>
                </c:pt>
                <c:pt idx="14">
                  <c:v>5.5495000000000001</c:v>
                </c:pt>
              </c:numCache>
            </c:numRef>
          </c:val>
          <c:smooth val="0"/>
          <c:extLst>
            <c:ext xmlns:c16="http://schemas.microsoft.com/office/drawing/2014/chart" uri="{C3380CC4-5D6E-409C-BE32-E72D297353CC}">
              <c16:uniqueId val="{00000002-B2F7-484B-AE09-6B163339913A}"/>
            </c:ext>
          </c:extLst>
        </c:ser>
        <c:dLbls>
          <c:showLegendKey val="0"/>
          <c:showVal val="0"/>
          <c:showCatName val="0"/>
          <c:showSerName val="0"/>
          <c:showPercent val="0"/>
          <c:showBubbleSize val="0"/>
        </c:dLbls>
        <c:marker val="1"/>
        <c:smooth val="0"/>
        <c:axId val="1571454031"/>
        <c:axId val="1571451151"/>
      </c:lineChart>
      <c:catAx>
        <c:axId val="1126212879"/>
        <c:scaling>
          <c:orientation val="minMax"/>
        </c:scaling>
        <c:delete val="0"/>
        <c:axPos val="b"/>
        <c:majorGridlines>
          <c:spPr>
            <a:ln w="3175" cap="flat" cmpd="sng" algn="ctr">
              <a:solidFill>
                <a:schemeClr val="bg1"/>
              </a:solidFill>
              <a:round/>
            </a:ln>
            <a:effectLst/>
          </c:spPr>
        </c:majorGridlines>
        <c:numFmt formatCode="General" sourceLinked="1"/>
        <c:majorTickMark val="none"/>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126225839"/>
        <c:crosses val="autoZero"/>
        <c:auto val="1"/>
        <c:lblAlgn val="ctr"/>
        <c:lblOffset val="100"/>
        <c:noMultiLvlLbl val="0"/>
      </c:catAx>
      <c:valAx>
        <c:axId val="1126225839"/>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126212879"/>
        <c:crosses val="autoZero"/>
        <c:crossBetween val="between"/>
        <c:dispUnits>
          <c:builtInUnit val="thousands"/>
        </c:dispUnits>
      </c:valAx>
      <c:valAx>
        <c:axId val="1571451151"/>
        <c:scaling>
          <c:orientation val="minMax"/>
        </c:scaling>
        <c:delete val="0"/>
        <c:axPos val="r"/>
        <c:majorGridlines>
          <c:spPr>
            <a:ln w="3175" cap="flat" cmpd="sng" algn="ctr">
              <a:solidFill>
                <a:schemeClr val="bg1">
                  <a:lumMod val="65000"/>
                </a:schemeClr>
              </a:solidFill>
              <a:round/>
            </a:ln>
            <a:effectLst/>
          </c:spPr>
        </c:majorGridlines>
        <c:numFmt formatCode="0.0" sourceLinked="1"/>
        <c:majorTickMark val="out"/>
        <c:minorTickMark val="none"/>
        <c:tickLblPos val="nextTo"/>
        <c:spPr>
          <a:noFill/>
          <a:ln w="1270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571454031"/>
        <c:crosses val="max"/>
        <c:crossBetween val="between"/>
      </c:valAx>
      <c:catAx>
        <c:axId val="1571454031"/>
        <c:scaling>
          <c:orientation val="minMax"/>
        </c:scaling>
        <c:delete val="1"/>
        <c:axPos val="b"/>
        <c:numFmt formatCode="General" sourceLinked="1"/>
        <c:majorTickMark val="out"/>
        <c:minorTickMark val="none"/>
        <c:tickLblPos val="nextTo"/>
        <c:crossAx val="1571451151"/>
        <c:crosses val="autoZero"/>
        <c:auto val="1"/>
        <c:lblAlgn val="ctr"/>
        <c:lblOffset val="100"/>
        <c:noMultiLvlLbl val="0"/>
      </c:catAx>
      <c:spPr>
        <a:noFill/>
        <a:ln>
          <a:noFill/>
        </a:ln>
        <a:effectLst/>
      </c:spPr>
    </c:plotArea>
    <c:legend>
      <c:legendPos val="t"/>
      <c:layout>
        <c:manualLayout>
          <c:xMode val="edge"/>
          <c:yMode val="edge"/>
          <c:x val="0.38858985201491147"/>
          <c:y val="3.2197477864233971E-2"/>
          <c:w val="0.2345649547066396"/>
          <c:h val="8.0915513939135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95000"/>
              <a:lumOff val="5000"/>
            </a:schemeClr>
          </a:solidFill>
          <a:latin typeface="Arial Narrow" panose="020B0606020202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627250030553273E-2"/>
          <c:y val="0.11913759566461959"/>
          <c:w val="0.92225831874385145"/>
          <c:h val="0.69089476679492734"/>
        </c:manualLayout>
      </c:layout>
      <c:lineChart>
        <c:grouping val="standard"/>
        <c:varyColors val="0"/>
        <c:ser>
          <c:idx val="1"/>
          <c:order val="0"/>
          <c:tx>
            <c:strRef>
              <c:f>'FIGURA 3. (2)'!$E$3</c:f>
              <c:strCache>
                <c:ptCount val="1"/>
                <c:pt idx="0">
                  <c:v>italiani rimpatriati</c:v>
                </c:pt>
              </c:strCache>
            </c:strRef>
          </c:tx>
          <c:spPr>
            <a:ln w="28575" cap="rnd">
              <a:solidFill>
                <a:srgbClr val="E42618"/>
              </a:solidFill>
              <a:round/>
            </a:ln>
            <a:effectLst/>
          </c:spPr>
          <c:marker>
            <c:symbol val="none"/>
          </c:marker>
          <c:dLbls>
            <c:delete val="1"/>
          </c:dLbls>
          <c:cat>
            <c:strRef>
              <c:f>'FIGURA 3. (2)'!$A$4:$A$104</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'FIGURA 3. (2)'!$E$4:$E$104</c:f>
              <c:numCache>
                <c:formatCode>0.0</c:formatCode>
                <c:ptCount val="101"/>
                <c:pt idx="0">
                  <c:v>1.7004411480394399</c:v>
                </c:pt>
                <c:pt idx="1">
                  <c:v>1.8384097579837251</c:v>
                </c:pt>
                <c:pt idx="2">
                  <c:v>1.672320157477547</c:v>
                </c:pt>
                <c:pt idx="3">
                  <c:v>1.5088668998365469</c:v>
                </c:pt>
                <c:pt idx="4">
                  <c:v>1.430655394836283</c:v>
                </c:pt>
                <c:pt idx="5">
                  <c:v>1.406049528094627</c:v>
                </c:pt>
                <c:pt idx="6">
                  <c:v>1.3085048420830625</c:v>
                </c:pt>
                <c:pt idx="7">
                  <c:v>1.1538393939926532</c:v>
                </c:pt>
                <c:pt idx="8">
                  <c:v>1.1292335272509972</c:v>
                </c:pt>
                <c:pt idx="9">
                  <c:v>1.0492644603406156</c:v>
                </c:pt>
                <c:pt idx="10">
                  <c:v>1.0202646888236637</c:v>
                </c:pt>
                <c:pt idx="11">
                  <c:v>0.92535634567727643</c:v>
                </c:pt>
                <c:pt idx="12">
                  <c:v>0.88756876460973333</c:v>
                </c:pt>
                <c:pt idx="13">
                  <c:v>0.84802362163207201</c:v>
                </c:pt>
                <c:pt idx="14">
                  <c:v>0.88405364078949678</c:v>
                </c:pt>
                <c:pt idx="15">
                  <c:v>0.77947870713745893</c:v>
                </c:pt>
                <c:pt idx="16">
                  <c:v>0.72499428792379206</c:v>
                </c:pt>
                <c:pt idx="17">
                  <c:v>0.72411550696873295</c:v>
                </c:pt>
                <c:pt idx="18">
                  <c:v>1.4042919661845088</c:v>
                </c:pt>
                <c:pt idx="19">
                  <c:v>1.0264161555090778</c:v>
                </c:pt>
                <c:pt idx="20">
                  <c:v>0.90075047893562044</c:v>
                </c:pt>
                <c:pt idx="21">
                  <c:v>0.97017417438529274</c:v>
                </c:pt>
                <c:pt idx="22">
                  <c:v>1.0501432412956746</c:v>
                </c:pt>
                <c:pt idx="23">
                  <c:v>1.2715960419705785</c:v>
                </c:pt>
                <c:pt idx="24">
                  <c:v>1.4376856424767561</c:v>
                </c:pt>
                <c:pt idx="25">
                  <c:v>1.6951684623090848</c:v>
                </c:pt>
                <c:pt idx="26">
                  <c:v>1.7883192435453541</c:v>
                </c:pt>
                <c:pt idx="27">
                  <c:v>2.0554686538833331</c:v>
                </c:pt>
                <c:pt idx="28">
                  <c:v>2.2347399687153979</c:v>
                </c:pt>
                <c:pt idx="29">
                  <c:v>2.3551329595585004</c:v>
                </c:pt>
                <c:pt idx="30">
                  <c:v>2.4236778740531135</c:v>
                </c:pt>
                <c:pt idx="31">
                  <c:v>2.5273740267500924</c:v>
                </c:pt>
                <c:pt idx="32">
                  <c:v>2.4807986361319578</c:v>
                </c:pt>
                <c:pt idx="33">
                  <c:v>2.3973144454013391</c:v>
                </c:pt>
                <c:pt idx="34">
                  <c:v>2.3718297977046241</c:v>
                </c:pt>
                <c:pt idx="35">
                  <c:v>2.1020440445014676</c:v>
                </c:pt>
                <c:pt idx="36">
                  <c:v>1.9921964251190749</c:v>
                </c:pt>
                <c:pt idx="37">
                  <c:v>1.9025607677030425</c:v>
                </c:pt>
                <c:pt idx="38">
                  <c:v>1.8340158532084292</c:v>
                </c:pt>
                <c:pt idx="39">
                  <c:v>1.7145016433203861</c:v>
                </c:pt>
                <c:pt idx="40">
                  <c:v>1.565108880960332</c:v>
                </c:pt>
                <c:pt idx="41">
                  <c:v>1.4438371091621702</c:v>
                </c:pt>
                <c:pt idx="42">
                  <c:v>1.417473680510396</c:v>
                </c:pt>
                <c:pt idx="43">
                  <c:v>1.3383833945550734</c:v>
                </c:pt>
                <c:pt idx="44">
                  <c:v>1.3287168040494226</c:v>
                </c:pt>
                <c:pt idx="45">
                  <c:v>1.2742323848357557</c:v>
                </c:pt>
                <c:pt idx="46">
                  <c:v>1.2566567657345731</c:v>
                </c:pt>
                <c:pt idx="47">
                  <c:v>1.1819603845545459</c:v>
                </c:pt>
                <c:pt idx="48">
                  <c:v>1.2232630894423255</c:v>
                </c:pt>
                <c:pt idx="49">
                  <c:v>1.2575355466896321</c:v>
                </c:pt>
                <c:pt idx="50">
                  <c:v>1.1626272035432448</c:v>
                </c:pt>
                <c:pt idx="51">
                  <c:v>1.1784452607343092</c:v>
                </c:pt>
                <c:pt idx="52">
                  <c:v>1.1292335272509972</c:v>
                </c:pt>
                <c:pt idx="53">
                  <c:v>1.0387190888799058</c:v>
                </c:pt>
                <c:pt idx="54">
                  <c:v>1.1186881557902877</c:v>
                </c:pt>
                <c:pt idx="55">
                  <c:v>1.0255373745540186</c:v>
                </c:pt>
                <c:pt idx="56">
                  <c:v>1.0088405364078949</c:v>
                </c:pt>
                <c:pt idx="57">
                  <c:v>1.0220222507337819</c:v>
                </c:pt>
                <c:pt idx="58">
                  <c:v>1.0193859078686047</c:v>
                </c:pt>
                <c:pt idx="59">
                  <c:v>0.93326537427280876</c:v>
                </c:pt>
                <c:pt idx="60">
                  <c:v>0.99565882208200784</c:v>
                </c:pt>
                <c:pt idx="61">
                  <c:v>0.90162925989067966</c:v>
                </c:pt>
                <c:pt idx="62">
                  <c:v>0.94468952668857764</c:v>
                </c:pt>
                <c:pt idx="63">
                  <c:v>0.95611367910434653</c:v>
                </c:pt>
                <c:pt idx="64">
                  <c:v>0.94644708859869586</c:v>
                </c:pt>
                <c:pt idx="65">
                  <c:v>0.98071954584600252</c:v>
                </c:pt>
                <c:pt idx="66">
                  <c:v>0.90865950753115277</c:v>
                </c:pt>
                <c:pt idx="67">
                  <c:v>0.81726628820500202</c:v>
                </c:pt>
                <c:pt idx="68">
                  <c:v>0.69335817354166296</c:v>
                </c:pt>
                <c:pt idx="69">
                  <c:v>0.66523718297977041</c:v>
                </c:pt>
                <c:pt idx="70">
                  <c:v>0.56417737314796912</c:v>
                </c:pt>
                <c:pt idx="71">
                  <c:v>0.5184807634848938</c:v>
                </c:pt>
                <c:pt idx="72">
                  <c:v>0.49914758247359264</c:v>
                </c:pt>
                <c:pt idx="73">
                  <c:v>0.46048122045099038</c:v>
                </c:pt>
                <c:pt idx="74">
                  <c:v>0.48596586814770548</c:v>
                </c:pt>
                <c:pt idx="75">
                  <c:v>0.44817828708016239</c:v>
                </c:pt>
                <c:pt idx="76">
                  <c:v>0.40511802028226446</c:v>
                </c:pt>
                <c:pt idx="77">
                  <c:v>0.3673304392147213</c:v>
                </c:pt>
                <c:pt idx="78">
                  <c:v>0.3102096771358771</c:v>
                </c:pt>
                <c:pt idx="79">
                  <c:v>0.30230064854034483</c:v>
                </c:pt>
                <c:pt idx="80">
                  <c:v>0.26890697224809745</c:v>
                </c:pt>
                <c:pt idx="81">
                  <c:v>0.2196952387647855</c:v>
                </c:pt>
                <c:pt idx="82">
                  <c:v>0.21618011494454892</c:v>
                </c:pt>
                <c:pt idx="83">
                  <c:v>0.1863015624725381</c:v>
                </c:pt>
                <c:pt idx="84">
                  <c:v>0.18102887674218324</c:v>
                </c:pt>
                <c:pt idx="85">
                  <c:v>0.19421059106807037</c:v>
                </c:pt>
                <c:pt idx="86">
                  <c:v>0.15642301000052727</c:v>
                </c:pt>
                <c:pt idx="87">
                  <c:v>0.11951420988804332</c:v>
                </c:pt>
                <c:pt idx="88">
                  <c:v>0.10018102887674217</c:v>
                </c:pt>
                <c:pt idx="89">
                  <c:v>8.1726628820500205E-2</c:v>
                </c:pt>
                <c:pt idx="90">
                  <c:v>5.7999543033903367E-2</c:v>
                </c:pt>
                <c:pt idx="91">
                  <c:v>5.1848076348489376E-2</c:v>
                </c:pt>
                <c:pt idx="92">
                  <c:v>3.9545142977661388E-2</c:v>
                </c:pt>
                <c:pt idx="93">
                  <c:v>2.0211961966360263E-2</c:v>
                </c:pt>
                <c:pt idx="94">
                  <c:v>3.1636114382129113E-2</c:v>
                </c:pt>
                <c:pt idx="95">
                  <c:v>1.7575619101182841E-2</c:v>
                </c:pt>
                <c:pt idx="96">
                  <c:v>1.1424152415768845E-2</c:v>
                </c:pt>
                <c:pt idx="97">
                  <c:v>7.9090285955322782E-3</c:v>
                </c:pt>
                <c:pt idx="98">
                  <c:v>7.0302476404731353E-3</c:v>
                </c:pt>
                <c:pt idx="99">
                  <c:v>2.6363428651774256E-3</c:v>
                </c:pt>
                <c:pt idx="100">
                  <c:v>5.2726857303548513E-3</c:v>
                </c:pt>
              </c:numCache>
            </c:numRef>
          </c:val>
          <c:smooth val="0"/>
          <c:extLst>
            <c:ext xmlns:c16="http://schemas.microsoft.com/office/drawing/2014/chart" uri="{C3380CC4-5D6E-409C-BE32-E72D297353CC}">
              <c16:uniqueId val="{00000000-829B-460F-9AFA-97B8E7CB0CF2}"/>
            </c:ext>
          </c:extLst>
        </c:ser>
        <c:ser>
          <c:idx val="2"/>
          <c:order val="1"/>
          <c:tx>
            <c:strRef>
              <c:f>'FIGURA 3. (2)'!$F$3</c:f>
              <c:strCache>
                <c:ptCount val="1"/>
                <c:pt idx="0">
                  <c:v>stranieri immigrati</c:v>
                </c:pt>
              </c:strCache>
            </c:strRef>
          </c:tx>
          <c:spPr>
            <a:ln w="28575" cap="rnd">
              <a:solidFill>
                <a:schemeClr val="tx2"/>
              </a:solidFill>
              <a:round/>
            </a:ln>
            <a:effectLst/>
          </c:spPr>
          <c:marker>
            <c:symbol val="none"/>
          </c:marker>
          <c:dLbls>
            <c:delete val="1"/>
          </c:dLbls>
          <c:cat>
            <c:strRef>
              <c:f>'FIGURA 3. (2)'!$A$4:$A$104</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'FIGURA 3. (2)'!$F$4:$F$104</c:f>
              <c:numCache>
                <c:formatCode>0.0</c:formatCode>
                <c:ptCount val="101"/>
                <c:pt idx="0">
                  <c:v>0.59531089115160507</c:v>
                </c:pt>
                <c:pt idx="1">
                  <c:v>0.80005996504668997</c:v>
                </c:pt>
                <c:pt idx="2">
                  <c:v>0.94129343027682544</c:v>
                </c:pt>
                <c:pt idx="3">
                  <c:v>0.99560387826569519</c:v>
                </c:pt>
                <c:pt idx="4">
                  <c:v>0.99612988744718545</c:v>
                </c:pt>
                <c:pt idx="5">
                  <c:v>0.99113280022302785</c:v>
                </c:pt>
                <c:pt idx="6">
                  <c:v>0.99113280022302785</c:v>
                </c:pt>
                <c:pt idx="7">
                  <c:v>0.9898177772693022</c:v>
                </c:pt>
                <c:pt idx="8">
                  <c:v>1.0186167799558941</c:v>
                </c:pt>
                <c:pt idx="9">
                  <c:v>1.0134881904363642</c:v>
                </c:pt>
                <c:pt idx="10">
                  <c:v>0.99389434842585178</c:v>
                </c:pt>
                <c:pt idx="11">
                  <c:v>0.99652439433330298</c:v>
                </c:pt>
                <c:pt idx="12">
                  <c:v>0.95036708865753261</c:v>
                </c:pt>
                <c:pt idx="13">
                  <c:v>0.94813154963619883</c:v>
                </c:pt>
                <c:pt idx="14">
                  <c:v>0.97771956609502619</c:v>
                </c:pt>
                <c:pt idx="15">
                  <c:v>1.0464952665748781</c:v>
                </c:pt>
                <c:pt idx="16">
                  <c:v>1.3577611997217411</c:v>
                </c:pt>
                <c:pt idx="17">
                  <c:v>1.7646293016044596</c:v>
                </c:pt>
                <c:pt idx="18">
                  <c:v>2.437658049321251</c:v>
                </c:pt>
                <c:pt idx="19">
                  <c:v>2.3967608354603831</c:v>
                </c:pt>
                <c:pt idx="20">
                  <c:v>2.342187382880768</c:v>
                </c:pt>
                <c:pt idx="21">
                  <c:v>2.3299576694111193</c:v>
                </c:pt>
                <c:pt idx="22">
                  <c:v>2.4323979575063484</c:v>
                </c:pt>
                <c:pt idx="23">
                  <c:v>2.7819310586066277</c:v>
                </c:pt>
                <c:pt idx="24">
                  <c:v>3.1163413957390627</c:v>
                </c:pt>
                <c:pt idx="25">
                  <c:v>3.1865636214680131</c:v>
                </c:pt>
                <c:pt idx="26">
                  <c:v>3.2350879684604892</c:v>
                </c:pt>
                <c:pt idx="27">
                  <c:v>3.1720983689770303</c:v>
                </c:pt>
                <c:pt idx="28">
                  <c:v>3.1121333222871406</c:v>
                </c:pt>
                <c:pt idx="29">
                  <c:v>2.9605111757225724</c:v>
                </c:pt>
                <c:pt idx="30">
                  <c:v>2.8401865754566744</c:v>
                </c:pt>
                <c:pt idx="31">
                  <c:v>2.7353792460447397</c:v>
                </c:pt>
                <c:pt idx="32">
                  <c:v>2.5895432004765642</c:v>
                </c:pt>
                <c:pt idx="33">
                  <c:v>2.4963080730574152</c:v>
                </c:pt>
                <c:pt idx="34">
                  <c:v>2.4101740695883849</c:v>
                </c:pt>
                <c:pt idx="35">
                  <c:v>2.3212785179165305</c:v>
                </c:pt>
                <c:pt idx="36">
                  <c:v>2.1590046854267841</c:v>
                </c:pt>
                <c:pt idx="37">
                  <c:v>2.03065844514316</c:v>
                </c:pt>
                <c:pt idx="38">
                  <c:v>1.8925810350019661</c:v>
                </c:pt>
                <c:pt idx="39">
                  <c:v>1.7634457809461064</c:v>
                </c:pt>
                <c:pt idx="40">
                  <c:v>1.6176097353779313</c:v>
                </c:pt>
                <c:pt idx="41">
                  <c:v>1.5260841377986252</c:v>
                </c:pt>
                <c:pt idx="42">
                  <c:v>1.4340325310378295</c:v>
                </c:pt>
                <c:pt idx="43">
                  <c:v>1.3488190436364067</c:v>
                </c:pt>
                <c:pt idx="44">
                  <c:v>1.2338860374807843</c:v>
                </c:pt>
                <c:pt idx="45">
                  <c:v>1.1440699697413217</c:v>
                </c:pt>
                <c:pt idx="46">
                  <c:v>1.0813433748486079</c:v>
                </c:pt>
                <c:pt idx="47">
                  <c:v>1.0006009654898527</c:v>
                </c:pt>
                <c:pt idx="48">
                  <c:v>0.96259680212718113</c:v>
                </c:pt>
                <c:pt idx="49">
                  <c:v>0.90026471412058495</c:v>
                </c:pt>
                <c:pt idx="50">
                  <c:v>0.82688643330269329</c:v>
                </c:pt>
                <c:pt idx="51">
                  <c:v>0.80203249947727839</c:v>
                </c:pt>
                <c:pt idx="52">
                  <c:v>0.7481165583745264</c:v>
                </c:pt>
                <c:pt idx="53">
                  <c:v>0.71905455109718941</c:v>
                </c:pt>
                <c:pt idx="54">
                  <c:v>0.67947236019004709</c:v>
                </c:pt>
                <c:pt idx="55">
                  <c:v>0.64672828864227827</c:v>
                </c:pt>
                <c:pt idx="56">
                  <c:v>0.63068500860682519</c:v>
                </c:pt>
                <c:pt idx="57">
                  <c:v>0.5707199619169353</c:v>
                </c:pt>
                <c:pt idx="58">
                  <c:v>0.53100626871442047</c:v>
                </c:pt>
                <c:pt idx="59">
                  <c:v>0.51062341293167268</c:v>
                </c:pt>
                <c:pt idx="60">
                  <c:v>0.49181858469339579</c:v>
                </c:pt>
                <c:pt idx="61">
                  <c:v>0.46893718529856937</c:v>
                </c:pt>
                <c:pt idx="62">
                  <c:v>0.46538662332351011</c:v>
                </c:pt>
                <c:pt idx="63">
                  <c:v>0.4438202468824094</c:v>
                </c:pt>
                <c:pt idx="64">
                  <c:v>0.42054434060146523</c:v>
                </c:pt>
                <c:pt idx="65">
                  <c:v>0.38556473003236275</c:v>
                </c:pt>
                <c:pt idx="66">
                  <c:v>0.36110530309306549</c:v>
                </c:pt>
                <c:pt idx="67">
                  <c:v>0.34677155289745581</c:v>
                </c:pt>
                <c:pt idx="68">
                  <c:v>0.31810405250623652</c:v>
                </c:pt>
                <c:pt idx="69">
                  <c:v>0.28851603604740916</c:v>
                </c:pt>
                <c:pt idx="70">
                  <c:v>0.24341074873461915</c:v>
                </c:pt>
                <c:pt idx="71">
                  <c:v>0.22526343197320511</c:v>
                </c:pt>
                <c:pt idx="72">
                  <c:v>0.19869996830794681</c:v>
                </c:pt>
                <c:pt idx="73">
                  <c:v>0.18647025483829821</c:v>
                </c:pt>
                <c:pt idx="74">
                  <c:v>0.16569289216943281</c:v>
                </c:pt>
                <c:pt idx="75">
                  <c:v>0.13597337341523297</c:v>
                </c:pt>
                <c:pt idx="76">
                  <c:v>0.13084478389570289</c:v>
                </c:pt>
                <c:pt idx="77">
                  <c:v>0.10638535695640568</c:v>
                </c:pt>
                <c:pt idx="78">
                  <c:v>8.5739496582912855E-2</c:v>
                </c:pt>
                <c:pt idx="79">
                  <c:v>7.061673261506779E-2</c:v>
                </c:pt>
                <c:pt idx="80">
                  <c:v>6.601415227702799E-2</c:v>
                </c:pt>
                <c:pt idx="81">
                  <c:v>6.338410636957667E-2</c:v>
                </c:pt>
                <c:pt idx="82">
                  <c:v>5.5888475533340441E-2</c:v>
                </c:pt>
                <c:pt idx="83">
                  <c:v>5.2863922739771418E-2</c:v>
                </c:pt>
                <c:pt idx="84">
                  <c:v>4.3001250586828993E-2</c:v>
                </c:pt>
                <c:pt idx="85">
                  <c:v>3.576862434133788E-2</c:v>
                </c:pt>
                <c:pt idx="86">
                  <c:v>2.8535998095846761E-2</c:v>
                </c:pt>
                <c:pt idx="87">
                  <c:v>2.1697878736473344E-2</c:v>
                </c:pt>
                <c:pt idx="88">
                  <c:v>1.8147316761414071E-2</c:v>
                </c:pt>
                <c:pt idx="89">
                  <c:v>1.4728257081727363E-2</c:v>
                </c:pt>
                <c:pt idx="90">
                  <c:v>9.3366629714521678E-3</c:v>
                </c:pt>
                <c:pt idx="91">
                  <c:v>7.4956308362362466E-3</c:v>
                </c:pt>
                <c:pt idx="92">
                  <c:v>4.7340826334123665E-3</c:v>
                </c:pt>
                <c:pt idx="93">
                  <c:v>4.2080734519221027E-3</c:v>
                </c:pt>
                <c:pt idx="94">
                  <c:v>3.4190596796867087E-3</c:v>
                </c:pt>
                <c:pt idx="95">
                  <c:v>2.1040367259610514E-3</c:v>
                </c:pt>
                <c:pt idx="96">
                  <c:v>1.1835206583530916E-3</c:v>
                </c:pt>
                <c:pt idx="97">
                  <c:v>6.5751147686282858E-4</c:v>
                </c:pt>
                <c:pt idx="98">
                  <c:v>3.9450688611769716E-4</c:v>
                </c:pt>
                <c:pt idx="99">
                  <c:v>3.9450688611769716E-4</c:v>
                </c:pt>
                <c:pt idx="100">
                  <c:v>1.4465252490982231E-3</c:v>
                </c:pt>
              </c:numCache>
            </c:numRef>
          </c:val>
          <c:smooth val="0"/>
          <c:extLst>
            <c:ext xmlns:c16="http://schemas.microsoft.com/office/drawing/2014/chart" uri="{C3380CC4-5D6E-409C-BE32-E72D297353CC}">
              <c16:uniqueId val="{00000001-829B-460F-9AFA-97B8E7CB0CF2}"/>
            </c:ext>
          </c:extLst>
        </c:ser>
        <c:dLbls>
          <c:showLegendKey val="0"/>
          <c:showVal val="1"/>
          <c:showCatName val="0"/>
          <c:showSerName val="0"/>
          <c:showPercent val="0"/>
          <c:showBubbleSize val="0"/>
        </c:dLbls>
        <c:smooth val="0"/>
        <c:axId val="1375699680"/>
        <c:axId val="1375700240"/>
      </c:lineChart>
      <c:catAx>
        <c:axId val="1375699680"/>
        <c:scaling>
          <c:orientation val="minMax"/>
        </c:scaling>
        <c:delete val="0"/>
        <c:axPos val="b"/>
        <c:majorGridlines>
          <c:spPr>
            <a:ln w="3175" cap="flat" cmpd="sng" algn="ctr">
              <a:solidFill>
                <a:schemeClr val="bg1"/>
              </a:solidFill>
              <a:round/>
            </a:ln>
            <a:effectLst/>
          </c:spPr>
        </c:majorGridlines>
        <c:numFmt formatCode="#,##0" sourceLinked="0"/>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375700240"/>
        <c:crosses val="autoZero"/>
        <c:auto val="1"/>
        <c:lblAlgn val="ctr"/>
        <c:lblOffset val="100"/>
        <c:tickLblSkip val="10"/>
        <c:tickMarkSkip val="10"/>
        <c:noMultiLvlLbl val="0"/>
      </c:catAx>
      <c:valAx>
        <c:axId val="1375700240"/>
        <c:scaling>
          <c:orientation val="minMax"/>
        </c:scaling>
        <c:delete val="0"/>
        <c:axPos val="l"/>
        <c:majorGridlines>
          <c:spPr>
            <a:ln w="3175" cap="flat" cmpd="sng" algn="ctr">
              <a:solidFill>
                <a:schemeClr val="bg1"/>
              </a:solidFill>
              <a:round/>
            </a:ln>
            <a:effectLst/>
          </c:spPr>
        </c:majorGridlines>
        <c:numFmt formatCode="0.0"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375699680"/>
        <c:crosses val="autoZero"/>
        <c:crossBetween val="between"/>
      </c:valAx>
      <c:spPr>
        <a:noFill/>
        <a:ln>
          <a:noFill/>
        </a:ln>
        <a:effectLst/>
      </c:spPr>
    </c:plotArea>
    <c:legend>
      <c:legendPos val="t"/>
      <c:layout>
        <c:manualLayout>
          <c:xMode val="edge"/>
          <c:yMode val="edge"/>
          <c:x val="0.30657046220361339"/>
          <c:y val="1.6181229773462782E-2"/>
          <c:w val="0.38548992875741439"/>
          <c:h val="8.67751361176940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900">
          <a:solidFill>
            <a:schemeClr val="tx1">
              <a:lumMod val="95000"/>
              <a:lumOff val="5000"/>
            </a:schemeClr>
          </a:solidFill>
          <a:latin typeface="Arial Narrow" panose="020B0606020202030204" pitchFamily="34" charset="0"/>
        </a:defRPr>
      </a:pPr>
      <a:endParaRPr lang="it-IT"/>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55122996882321E-2"/>
          <c:y val="0.11985061350764499"/>
          <c:w val="0.89888975400623539"/>
          <c:h val="0.7725664607603675"/>
        </c:manualLayout>
      </c:layout>
      <c:barChart>
        <c:barDir val="col"/>
        <c:grouping val="clustered"/>
        <c:varyColors val="0"/>
        <c:ser>
          <c:idx val="0"/>
          <c:order val="0"/>
          <c:tx>
            <c:strRef>
              <c:f>emigrazioni!$B$2</c:f>
              <c:strCache>
                <c:ptCount val="1"/>
                <c:pt idx="0">
                  <c:v>italiani (espatri)</c:v>
                </c:pt>
              </c:strCache>
            </c:strRef>
          </c:tx>
          <c:spPr>
            <a:solidFill>
              <a:schemeClr val="tx2"/>
            </a:solidFill>
            <a:ln>
              <a:noFill/>
            </a:ln>
            <a:effectLst/>
          </c:spPr>
          <c:invertIfNegative val="0"/>
          <c:cat>
            <c:strRef>
              <c:f>emigrazioni!$A$5:$A$15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emigrazioni!$B$5:$B$15</c:f>
              <c:numCache>
                <c:formatCode>General</c:formatCode>
                <c:ptCount val="11"/>
                <c:pt idx="0">
                  <c:v>88859</c:v>
                </c:pt>
                <c:pt idx="1">
                  <c:v>102259</c:v>
                </c:pt>
                <c:pt idx="2">
                  <c:v>114512</c:v>
                </c:pt>
                <c:pt idx="3">
                  <c:v>114559</c:v>
                </c:pt>
                <c:pt idx="4">
                  <c:v>116732</c:v>
                </c:pt>
                <c:pt idx="5">
                  <c:v>122020</c:v>
                </c:pt>
                <c:pt idx="6">
                  <c:v>120950</c:v>
                </c:pt>
                <c:pt idx="7">
                  <c:v>94219</c:v>
                </c:pt>
                <c:pt idx="8">
                  <c:v>99510</c:v>
                </c:pt>
                <c:pt idx="9">
                  <c:v>114057</c:v>
                </c:pt>
                <c:pt idx="10">
                  <c:v>155732</c:v>
                </c:pt>
              </c:numCache>
            </c:numRef>
          </c:val>
          <c:extLst>
            <c:ext xmlns:c16="http://schemas.microsoft.com/office/drawing/2014/chart" uri="{C3380CC4-5D6E-409C-BE32-E72D297353CC}">
              <c16:uniqueId val="{00000000-AB64-4AE5-8790-EEC0AC665BF5}"/>
            </c:ext>
          </c:extLst>
        </c:ser>
        <c:ser>
          <c:idx val="1"/>
          <c:order val="1"/>
          <c:tx>
            <c:strRef>
              <c:f>emigrazioni!$C$2</c:f>
              <c:strCache>
                <c:ptCount val="1"/>
                <c:pt idx="0">
                  <c:v>stranieri</c:v>
                </c:pt>
              </c:strCache>
            </c:strRef>
          </c:tx>
          <c:spPr>
            <a:solidFill>
              <a:srgbClr val="E42618"/>
            </a:solidFill>
            <a:ln>
              <a:noFill/>
            </a:ln>
            <a:effectLst/>
          </c:spPr>
          <c:invertIfNegative val="0"/>
          <c:cat>
            <c:strRef>
              <c:f>emigrazioni!$A$5:$A$15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emigrazioni!$C$5:$C$15</c:f>
              <c:numCache>
                <c:formatCode>General</c:formatCode>
                <c:ptCount val="11"/>
                <c:pt idx="0">
                  <c:v>47469</c:v>
                </c:pt>
                <c:pt idx="1">
                  <c:v>44696</c:v>
                </c:pt>
                <c:pt idx="2">
                  <c:v>42553</c:v>
                </c:pt>
                <c:pt idx="3">
                  <c:v>40551</c:v>
                </c:pt>
                <c:pt idx="4">
                  <c:v>40228</c:v>
                </c:pt>
                <c:pt idx="5">
                  <c:v>57485</c:v>
                </c:pt>
                <c:pt idx="6">
                  <c:v>38934</c:v>
                </c:pt>
                <c:pt idx="7">
                  <c:v>64093</c:v>
                </c:pt>
                <c:pt idx="8">
                  <c:v>50679</c:v>
                </c:pt>
                <c:pt idx="9">
                  <c:v>44381</c:v>
                </c:pt>
                <c:pt idx="10">
                  <c:v>35235</c:v>
                </c:pt>
              </c:numCache>
            </c:numRef>
          </c:val>
          <c:extLst>
            <c:ext xmlns:c16="http://schemas.microsoft.com/office/drawing/2014/chart" uri="{C3380CC4-5D6E-409C-BE32-E72D297353CC}">
              <c16:uniqueId val="{00000001-AB64-4AE5-8790-EEC0AC665BF5}"/>
            </c:ext>
          </c:extLst>
        </c:ser>
        <c:dLbls>
          <c:showLegendKey val="0"/>
          <c:showVal val="0"/>
          <c:showCatName val="0"/>
          <c:showSerName val="0"/>
          <c:showPercent val="0"/>
          <c:showBubbleSize val="0"/>
        </c:dLbls>
        <c:gapWidth val="90"/>
        <c:axId val="1268373183"/>
        <c:axId val="1268376511"/>
      </c:barChart>
      <c:lineChart>
        <c:grouping val="standard"/>
        <c:varyColors val="0"/>
        <c:ser>
          <c:idx val="2"/>
          <c:order val="2"/>
          <c:tx>
            <c:strRef>
              <c:f>emigrazioni!$D$2</c:f>
              <c:strCache>
                <c:ptCount val="1"/>
                <c:pt idx="0">
                  <c:v>totale (asse dx)</c:v>
                </c:pt>
              </c:strCache>
            </c:strRef>
          </c:tx>
          <c:spPr>
            <a:ln w="28575" cap="rnd">
              <a:solidFill>
                <a:schemeClr val="accent3"/>
              </a:solidFill>
              <a:prstDash val="sysDash"/>
              <a:round/>
            </a:ln>
            <a:effectLst/>
          </c:spPr>
          <c:marker>
            <c:symbol val="none"/>
          </c:marker>
          <c:cat>
            <c:strRef>
              <c:f>emigrazioni!$A$5:$A$15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emigrazioni!$D$5:$D$15</c:f>
              <c:numCache>
                <c:formatCode>General</c:formatCode>
                <c:ptCount val="11"/>
                <c:pt idx="0">
                  <c:v>136328</c:v>
                </c:pt>
                <c:pt idx="1">
                  <c:v>146955</c:v>
                </c:pt>
                <c:pt idx="2">
                  <c:v>157065</c:v>
                </c:pt>
                <c:pt idx="3">
                  <c:v>155110</c:v>
                </c:pt>
                <c:pt idx="4">
                  <c:v>156960</c:v>
                </c:pt>
                <c:pt idx="5">
                  <c:v>179505</c:v>
                </c:pt>
                <c:pt idx="6">
                  <c:v>159884</c:v>
                </c:pt>
                <c:pt idx="7">
                  <c:v>158312</c:v>
                </c:pt>
                <c:pt idx="8">
                  <c:v>150189</c:v>
                </c:pt>
                <c:pt idx="9">
                  <c:v>158438</c:v>
                </c:pt>
                <c:pt idx="10">
                  <c:v>190967</c:v>
                </c:pt>
              </c:numCache>
            </c:numRef>
          </c:val>
          <c:smooth val="1"/>
          <c:extLst>
            <c:ext xmlns:c16="http://schemas.microsoft.com/office/drawing/2014/chart" uri="{C3380CC4-5D6E-409C-BE32-E72D297353CC}">
              <c16:uniqueId val="{00000002-AB64-4AE5-8790-EEC0AC665BF5}"/>
            </c:ext>
          </c:extLst>
        </c:ser>
        <c:dLbls>
          <c:showLegendKey val="0"/>
          <c:showVal val="0"/>
          <c:showCatName val="0"/>
          <c:showSerName val="0"/>
          <c:showPercent val="0"/>
          <c:showBubbleSize val="0"/>
        </c:dLbls>
        <c:marker val="1"/>
        <c:smooth val="0"/>
        <c:axId val="1329944895"/>
        <c:axId val="1329949055"/>
      </c:lineChart>
      <c:catAx>
        <c:axId val="1268373183"/>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268376511"/>
        <c:crosses val="autoZero"/>
        <c:auto val="1"/>
        <c:lblAlgn val="ctr"/>
        <c:lblOffset val="100"/>
        <c:noMultiLvlLbl val="0"/>
      </c:catAx>
      <c:valAx>
        <c:axId val="1268376511"/>
        <c:scaling>
          <c:orientation val="minMax"/>
          <c:max val="160000"/>
          <c:min val="0"/>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268373183"/>
        <c:crosses val="autoZero"/>
        <c:crossBetween val="between"/>
        <c:majorUnit val="10000"/>
        <c:dispUnits>
          <c:builtInUnit val="thousands"/>
        </c:dispUnits>
      </c:valAx>
      <c:valAx>
        <c:axId val="1329949055"/>
        <c:scaling>
          <c:orientation val="minMax"/>
        </c:scaling>
        <c:delete val="0"/>
        <c:axPos val="r"/>
        <c:majorGridlines>
          <c:spPr>
            <a:ln w="3175" cap="flat" cmpd="sng" algn="ctr">
              <a:solidFill>
                <a:schemeClr val="bg1">
                  <a:lumMod val="6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crossAx val="1329944895"/>
        <c:crosses val="max"/>
        <c:crossBetween val="between"/>
        <c:dispUnits>
          <c:builtInUnit val="thousands"/>
        </c:dispUnits>
      </c:valAx>
      <c:catAx>
        <c:axId val="1329944895"/>
        <c:scaling>
          <c:orientation val="minMax"/>
        </c:scaling>
        <c:delete val="1"/>
        <c:axPos val="b"/>
        <c:numFmt formatCode="General" sourceLinked="1"/>
        <c:majorTickMark val="out"/>
        <c:minorTickMark val="none"/>
        <c:tickLblPos val="nextTo"/>
        <c:crossAx val="1329949055"/>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95000"/>
              <a:lumOff val="5000"/>
            </a:schemeClr>
          </a:solidFill>
          <a:latin typeface="Arial Narrow" panose="020B0606020202030204" pitchFamily="34" charset="0"/>
        </a:defRPr>
      </a:pPr>
      <a:endParaRPr lang="it-IT"/>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0559739997367E-2"/>
          <c:y val="5.0925925925925923E-2"/>
          <c:w val="0.79138018858753767"/>
          <c:h val="0.79121820731312698"/>
        </c:manualLayout>
      </c:layout>
      <c:barChart>
        <c:barDir val="col"/>
        <c:grouping val="stacked"/>
        <c:varyColors val="0"/>
        <c:ser>
          <c:idx val="0"/>
          <c:order val="0"/>
          <c:tx>
            <c:strRef>
              <c:f>Foglio3!$K$34</c:f>
              <c:strCache>
                <c:ptCount val="1"/>
                <c:pt idx="0">
                  <c:v>Nord-ovest</c:v>
                </c:pt>
              </c:strCache>
            </c:strRef>
          </c:tx>
          <c:spPr>
            <a:solidFill>
              <a:schemeClr val="tx2"/>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Foglio3!$K$35:$K$39</c:f>
              <c:numCache>
                <c:formatCode>0.0</c:formatCode>
                <c:ptCount val="5"/>
                <c:pt idx="0">
                  <c:v>58.493275778440754</c:v>
                </c:pt>
                <c:pt idx="1">
                  <c:v>3.5098200006679008</c:v>
                </c:pt>
                <c:pt idx="2">
                  <c:v>2.795875561495341</c:v>
                </c:pt>
                <c:pt idx="3">
                  <c:v>1.4732797243915166</c:v>
                </c:pt>
                <c:pt idx="4">
                  <c:v>1.757613054621934</c:v>
                </c:pt>
              </c:numCache>
            </c:numRef>
          </c:val>
          <c:extLst>
            <c:ext xmlns:c16="http://schemas.microsoft.com/office/drawing/2014/chart" uri="{C3380CC4-5D6E-409C-BE32-E72D297353CC}">
              <c16:uniqueId val="{00000000-6E1C-4BA1-9D4A-2C5E30D7E99F}"/>
            </c:ext>
          </c:extLst>
        </c:ser>
        <c:ser>
          <c:idx val="1"/>
          <c:order val="1"/>
          <c:tx>
            <c:strRef>
              <c:f>Foglio3!$L$34</c:f>
              <c:strCache>
                <c:ptCount val="1"/>
                <c:pt idx="0">
                  <c:v>Nord-est</c:v>
                </c:pt>
              </c:strCache>
            </c:strRef>
          </c:tx>
          <c:spPr>
            <a:solidFill>
              <a:srgbClr val="E42618"/>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Foglio3!$L$35:$L$39</c:f>
              <c:numCache>
                <c:formatCode>0.0</c:formatCode>
                <c:ptCount val="5"/>
                <c:pt idx="0">
                  <c:v>2.4840193041927821</c:v>
                </c:pt>
                <c:pt idx="1">
                  <c:v>59.637997632661843</c:v>
                </c:pt>
                <c:pt idx="2">
                  <c:v>1.5782195493187809</c:v>
                </c:pt>
                <c:pt idx="3">
                  <c:v>0.62401139535076311</c:v>
                </c:pt>
                <c:pt idx="4">
                  <c:v>0.59917089895922793</c:v>
                </c:pt>
              </c:numCache>
            </c:numRef>
          </c:val>
          <c:extLst>
            <c:ext xmlns:c16="http://schemas.microsoft.com/office/drawing/2014/chart" uri="{C3380CC4-5D6E-409C-BE32-E72D297353CC}">
              <c16:uniqueId val="{00000001-6E1C-4BA1-9D4A-2C5E30D7E99F}"/>
            </c:ext>
          </c:extLst>
        </c:ser>
        <c:ser>
          <c:idx val="2"/>
          <c:order val="2"/>
          <c:tx>
            <c:strRef>
              <c:f>Foglio3!$M$34</c:f>
              <c:strCache>
                <c:ptCount val="1"/>
                <c:pt idx="0">
                  <c:v>Centro</c:v>
                </c:pt>
              </c:strCache>
            </c:strRef>
          </c:tx>
          <c:spPr>
            <a:solidFill>
              <a:schemeClr val="accent3"/>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Foglio3!$M$35:$M$39</c:f>
              <c:numCache>
                <c:formatCode>0.0</c:formatCode>
                <c:ptCount val="5"/>
                <c:pt idx="0">
                  <c:v>1.8407268608466854</c:v>
                </c:pt>
                <c:pt idx="1">
                  <c:v>1.6408102381809346</c:v>
                </c:pt>
                <c:pt idx="2">
                  <c:v>58.251197237999776</c:v>
                </c:pt>
                <c:pt idx="3">
                  <c:v>1.4844597560268653</c:v>
                </c:pt>
                <c:pt idx="4">
                  <c:v>0.84736019909245219</c:v>
                </c:pt>
              </c:numCache>
            </c:numRef>
          </c:val>
          <c:extLst>
            <c:ext xmlns:c16="http://schemas.microsoft.com/office/drawing/2014/chart" uri="{C3380CC4-5D6E-409C-BE32-E72D297353CC}">
              <c16:uniqueId val="{00000002-6E1C-4BA1-9D4A-2C5E30D7E99F}"/>
            </c:ext>
          </c:extLst>
        </c:ser>
        <c:ser>
          <c:idx val="3"/>
          <c:order val="3"/>
          <c:tx>
            <c:strRef>
              <c:f>Foglio3!$N$34</c:f>
              <c:strCache>
                <c:ptCount val="1"/>
                <c:pt idx="0">
                  <c:v>Sud</c:v>
                </c:pt>
              </c:strCache>
            </c:strRef>
          </c:tx>
          <c:spPr>
            <a:solidFill>
              <a:schemeClr val="accent4"/>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Foglio3!$N$35:$N$39</c:f>
              <c:numCache>
                <c:formatCode>0.0</c:formatCode>
                <c:ptCount val="5"/>
                <c:pt idx="0">
                  <c:v>4.1689360745070303</c:v>
                </c:pt>
                <c:pt idx="1">
                  <c:v>2.9747570509942451</c:v>
                </c:pt>
                <c:pt idx="2">
                  <c:v>5.5759735679548577</c:v>
                </c:pt>
                <c:pt idx="3">
                  <c:v>68.938559515035067</c:v>
                </c:pt>
                <c:pt idx="4">
                  <c:v>1.9287081307355736</c:v>
                </c:pt>
              </c:numCache>
            </c:numRef>
          </c:val>
          <c:extLst>
            <c:ext xmlns:c16="http://schemas.microsoft.com/office/drawing/2014/chart" uri="{C3380CC4-5D6E-409C-BE32-E72D297353CC}">
              <c16:uniqueId val="{00000003-6E1C-4BA1-9D4A-2C5E30D7E99F}"/>
            </c:ext>
          </c:extLst>
        </c:ser>
        <c:ser>
          <c:idx val="4"/>
          <c:order val="4"/>
          <c:tx>
            <c:strRef>
              <c:f>Foglio3!$O$34</c:f>
              <c:strCache>
                <c:ptCount val="1"/>
                <c:pt idx="0">
                  <c:v>Isole</c:v>
                </c:pt>
              </c:strCache>
            </c:strRef>
          </c:tx>
          <c:spPr>
            <a:solidFill>
              <a:schemeClr val="accent6"/>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Foglio3!$O$35:$O$39</c:f>
              <c:numCache>
                <c:formatCode>0.0</c:formatCode>
                <c:ptCount val="5"/>
                <c:pt idx="0">
                  <c:v>3.1706675988174693</c:v>
                </c:pt>
                <c:pt idx="1">
                  <c:v>1.3524996196674595</c:v>
                </c:pt>
                <c:pt idx="2">
                  <c:v>2.2079296135427109</c:v>
                </c:pt>
                <c:pt idx="3">
                  <c:v>2.1581601808680673</c:v>
                </c:pt>
                <c:pt idx="4">
                  <c:v>74.629913911449847</c:v>
                </c:pt>
              </c:numCache>
            </c:numRef>
          </c:val>
          <c:extLst>
            <c:ext xmlns:c16="http://schemas.microsoft.com/office/drawing/2014/chart" uri="{C3380CC4-5D6E-409C-BE32-E72D297353CC}">
              <c16:uniqueId val="{00000004-6E1C-4BA1-9D4A-2C5E30D7E99F}"/>
            </c:ext>
          </c:extLst>
        </c:ser>
        <c:ser>
          <c:idx val="5"/>
          <c:order val="5"/>
          <c:tx>
            <c:strRef>
              <c:f>Foglio3!$P$34</c:f>
              <c:strCache>
                <c:ptCount val="1"/>
                <c:pt idx="0">
                  <c:v>Estero</c:v>
                </c:pt>
              </c:strCache>
            </c:strRef>
          </c:tx>
          <c:spPr>
            <a:solidFill>
              <a:schemeClr val="accent5">
                <a:lumMod val="75000"/>
              </a:schemeClr>
            </a:solidFill>
            <a:ln>
              <a:noFill/>
            </a:ln>
            <a:effectLst/>
          </c:spPr>
          <c:invertIfNegative val="0"/>
          <c:cat>
            <c:strRef>
              <c:f>Foglio3!$A$35:$A$39</c:f>
              <c:strCache>
                <c:ptCount val="5"/>
                <c:pt idx="0">
                  <c:v>Nord-ovest</c:v>
                </c:pt>
                <c:pt idx="1">
                  <c:v>Nord-est</c:v>
                </c:pt>
                <c:pt idx="2">
                  <c:v>Centro</c:v>
                </c:pt>
                <c:pt idx="3">
                  <c:v>Sud</c:v>
                </c:pt>
                <c:pt idx="4">
                  <c:v>Isole</c:v>
                </c:pt>
              </c:strCache>
            </c:strRef>
          </c:cat>
          <c:val>
            <c:numRef>
              <c:f>Foglio3!$P$35:$P$39</c:f>
              <c:numCache>
                <c:formatCode>0.0</c:formatCode>
                <c:ptCount val="5"/>
                <c:pt idx="0">
                  <c:v>29.842374383195274</c:v>
                </c:pt>
                <c:pt idx="1">
                  <c:v>30.884115457827615</c:v>
                </c:pt>
                <c:pt idx="2">
                  <c:v>29.590804469688532</c:v>
                </c:pt>
                <c:pt idx="3">
                  <c:v>25.321529428327715</c:v>
                </c:pt>
                <c:pt idx="4">
                  <c:v>20.237233805140967</c:v>
                </c:pt>
              </c:numCache>
            </c:numRef>
          </c:val>
          <c:extLst>
            <c:ext xmlns:c16="http://schemas.microsoft.com/office/drawing/2014/chart" uri="{C3380CC4-5D6E-409C-BE32-E72D297353CC}">
              <c16:uniqueId val="{00000005-6E1C-4BA1-9D4A-2C5E30D7E99F}"/>
            </c:ext>
          </c:extLst>
        </c:ser>
        <c:dLbls>
          <c:showLegendKey val="0"/>
          <c:showVal val="0"/>
          <c:showCatName val="0"/>
          <c:showSerName val="0"/>
          <c:showPercent val="0"/>
          <c:showBubbleSize val="0"/>
        </c:dLbls>
        <c:gapWidth val="90"/>
        <c:overlap val="100"/>
        <c:axId val="1133256944"/>
        <c:axId val="1133260304"/>
      </c:barChart>
      <c:catAx>
        <c:axId val="1133256944"/>
        <c:scaling>
          <c:orientation val="minMax"/>
        </c:scaling>
        <c:delete val="0"/>
        <c:axPos val="b"/>
        <c:majorGridlines>
          <c:spPr>
            <a:ln w="3175" cap="flat" cmpd="sng" algn="ctr">
              <a:solidFill>
                <a:schemeClr val="bg1"/>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r>
                  <a:rPr lang="it-IT" b="1"/>
                  <a:t>Aree di espatrio</a:t>
                </a:r>
              </a:p>
            </c:rich>
          </c:tx>
          <c:layout>
            <c:manualLayout>
              <c:xMode val="edge"/>
              <c:yMode val="edge"/>
              <c:x val="0.36874050117737189"/>
              <c:y val="0.9324280012943587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title>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crossAx val="1133260304"/>
        <c:crosses val="autoZero"/>
        <c:auto val="1"/>
        <c:lblAlgn val="ctr"/>
        <c:lblOffset val="100"/>
        <c:tickLblSkip val="1"/>
        <c:noMultiLvlLbl val="0"/>
      </c:catAx>
      <c:valAx>
        <c:axId val="1133260304"/>
        <c:scaling>
          <c:orientation val="minMax"/>
          <c:max val="100"/>
        </c:scaling>
        <c:delete val="0"/>
        <c:axPos val="l"/>
        <c:majorGridlines>
          <c:spPr>
            <a:ln w="3175" cap="flat" cmpd="sng" algn="ctr">
              <a:solidFill>
                <a:schemeClr val="bg1"/>
              </a:solidFill>
              <a:round/>
            </a:ln>
            <a:effectLst/>
          </c:spPr>
        </c:majorGridlines>
        <c:title>
          <c:tx>
            <c:rich>
              <a:bodyPr rot="0" spcFirstLastPara="1" vertOverflow="ellipsis"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r>
                  <a:rPr lang="it-IT" b="1"/>
                  <a:t>Aree di nascita</a:t>
                </a:r>
              </a:p>
            </c:rich>
          </c:tx>
          <c:layout>
            <c:manualLayout>
              <c:xMode val="edge"/>
              <c:yMode val="edge"/>
              <c:x val="0.8621607854573734"/>
              <c:y val="0.17365634775105165"/>
            </c:manualLayout>
          </c:layout>
          <c:overlay val="0"/>
          <c:spPr>
            <a:noFill/>
            <a:ln>
              <a:noFill/>
            </a:ln>
            <a:effectLst/>
          </c:spPr>
          <c:txPr>
            <a:bodyPr rot="0" spcFirstLastPara="1" vertOverflow="ellipsis" wrap="square" anchor="ctr" anchorCtr="1"/>
            <a:lstStyle/>
            <a:p>
              <a:pPr>
                <a:defRPr sz="800" b="1"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title>
        <c:numFmt formatCode="0" sourceLinked="0"/>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crossAx val="1133256944"/>
        <c:crosses val="autoZero"/>
        <c:crossBetween val="between"/>
      </c:valAx>
      <c:spPr>
        <a:noFill/>
        <a:ln>
          <a:noFill/>
        </a:ln>
        <a:effectLst/>
      </c:spPr>
    </c:plotArea>
    <c:legend>
      <c:legendPos val="r"/>
      <c:layout>
        <c:manualLayout>
          <c:xMode val="edge"/>
          <c:yMode val="edge"/>
          <c:x val="0.8759838747400267"/>
          <c:y val="0.26469420774457986"/>
          <c:w val="9.846518306898E-2"/>
          <c:h val="0.470611582250149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95000"/>
              <a:lumOff val="5000"/>
            </a:schemeClr>
          </a:solidFill>
          <a:latin typeface="Arial Narrow" panose="020B0606020202030204" pitchFamily="34" charset="0"/>
          <a:cs typeface="Times New Roman" panose="02020603050405020304" pitchFamily="18"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7727272727273E-2"/>
          <c:y val="5.5436507936507937E-2"/>
          <c:w val="0.858611778722705"/>
          <c:h val="0.84136706349206347"/>
        </c:manualLayout>
      </c:layout>
      <c:areaChart>
        <c:grouping val="standard"/>
        <c:varyColors val="0"/>
        <c:ser>
          <c:idx val="2"/>
          <c:order val="1"/>
          <c:tx>
            <c:strRef>
              <c:f>'Figura 6'!$L$3</c:f>
              <c:strCache>
                <c:ptCount val="1"/>
                <c:pt idx="0">
                  <c:v>Saldo migratorio laureati 25-34 anni</c:v>
                </c:pt>
              </c:strCache>
            </c:strRef>
          </c:tx>
          <c:spPr>
            <a:pattFill prst="dkUpDiag">
              <a:fgClr>
                <a:srgbClr val="C00000"/>
              </a:fgClr>
              <a:bgClr>
                <a:schemeClr val="bg1"/>
              </a:bgClr>
            </a:pattFill>
            <a:ln cap="rnd">
              <a:solidFill>
                <a:schemeClr val="accent1"/>
              </a:solidFill>
              <a:round/>
            </a:ln>
            <a:effectLst/>
          </c:spPr>
          <c:cat>
            <c:numRef>
              <c:f>'Figura 6'!$A$4:$A$8</c:f>
              <c:numCache>
                <c:formatCode>General</c:formatCode>
                <c:ptCount val="5"/>
                <c:pt idx="0">
                  <c:v>2019</c:v>
                </c:pt>
                <c:pt idx="1">
                  <c:v>2020</c:v>
                </c:pt>
                <c:pt idx="2">
                  <c:v>2021</c:v>
                </c:pt>
                <c:pt idx="3">
                  <c:v>2022</c:v>
                </c:pt>
                <c:pt idx="4">
                  <c:v>2023</c:v>
                </c:pt>
              </c:numCache>
            </c:numRef>
          </c:cat>
          <c:val>
            <c:numRef>
              <c:f>'Figura 6'!$L$4:$L$8</c:f>
              <c:numCache>
                <c:formatCode>General</c:formatCode>
                <c:ptCount val="5"/>
                <c:pt idx="0">
                  <c:v>-10632</c:v>
                </c:pt>
                <c:pt idx="1">
                  <c:v>-12535</c:v>
                </c:pt>
                <c:pt idx="2">
                  <c:v>-6959</c:v>
                </c:pt>
                <c:pt idx="3">
                  <c:v>-11700</c:v>
                </c:pt>
                <c:pt idx="4">
                  <c:v>-15710</c:v>
                </c:pt>
              </c:numCache>
            </c:numRef>
          </c:val>
          <c:extLst>
            <c:ext xmlns:c16="http://schemas.microsoft.com/office/drawing/2014/chart" uri="{C3380CC4-5D6E-409C-BE32-E72D297353CC}">
              <c16:uniqueId val="{00000000-CA53-4AD3-B6F6-91BCB6293D07}"/>
            </c:ext>
          </c:extLst>
        </c:ser>
        <c:dLbls>
          <c:showLegendKey val="0"/>
          <c:showVal val="0"/>
          <c:showCatName val="0"/>
          <c:showSerName val="0"/>
          <c:showPercent val="0"/>
          <c:showBubbleSize val="0"/>
        </c:dLbls>
        <c:axId val="1392287088"/>
        <c:axId val="1392286528"/>
      </c:areaChart>
      <c:barChart>
        <c:barDir val="col"/>
        <c:grouping val="clustered"/>
        <c:varyColors val="0"/>
        <c:ser>
          <c:idx val="1"/>
          <c:order val="0"/>
          <c:tx>
            <c:strRef>
              <c:f>'Figura 6'!$G$3</c:f>
              <c:strCache>
                <c:ptCount val="1"/>
                <c:pt idx="0">
                  <c:v>espatri laureati 25-34 anni</c:v>
                </c:pt>
              </c:strCache>
            </c:strRef>
          </c:tx>
          <c:spPr>
            <a:solidFill>
              <a:schemeClr val="tx2"/>
            </a:solidFill>
            <a:ln w="25400">
              <a:noFill/>
            </a:ln>
            <a:effectLst/>
          </c:spPr>
          <c:invertIfNegative val="0"/>
          <c:cat>
            <c:numRef>
              <c:f>'Figura 6'!$A$4:$A$8</c:f>
              <c:numCache>
                <c:formatCode>General</c:formatCode>
                <c:ptCount val="5"/>
                <c:pt idx="0">
                  <c:v>2019</c:v>
                </c:pt>
                <c:pt idx="1">
                  <c:v>2020</c:v>
                </c:pt>
                <c:pt idx="2">
                  <c:v>2021</c:v>
                </c:pt>
                <c:pt idx="3">
                  <c:v>2022</c:v>
                </c:pt>
                <c:pt idx="4">
                  <c:v>2023</c:v>
                </c:pt>
              </c:numCache>
            </c:numRef>
          </c:cat>
          <c:val>
            <c:numRef>
              <c:f>'Figura 6'!$G$4:$G$8</c:f>
              <c:numCache>
                <c:formatCode>General</c:formatCode>
                <c:ptCount val="5"/>
                <c:pt idx="0">
                  <c:v>16615</c:v>
                </c:pt>
                <c:pt idx="1">
                  <c:v>18279</c:v>
                </c:pt>
                <c:pt idx="2">
                  <c:v>14379</c:v>
                </c:pt>
                <c:pt idx="3">
                  <c:v>17720</c:v>
                </c:pt>
                <c:pt idx="4">
                  <c:v>21483</c:v>
                </c:pt>
              </c:numCache>
            </c:numRef>
          </c:val>
          <c:extLst>
            <c:ext xmlns:c16="http://schemas.microsoft.com/office/drawing/2014/chart" uri="{C3380CC4-5D6E-409C-BE32-E72D297353CC}">
              <c16:uniqueId val="{00000001-CA53-4AD3-B6F6-91BCB6293D07}"/>
            </c:ext>
          </c:extLst>
        </c:ser>
        <c:ser>
          <c:idx val="4"/>
          <c:order val="3"/>
          <c:tx>
            <c:strRef>
              <c:f>'Figura 6'!$H$3</c:f>
              <c:strCache>
                <c:ptCount val="1"/>
                <c:pt idx="0">
                  <c:v>rimpatri laureati 25-34 anni</c:v>
                </c:pt>
              </c:strCache>
            </c:strRef>
          </c:tx>
          <c:spPr>
            <a:solidFill>
              <a:srgbClr val="E42618"/>
            </a:solidFill>
            <a:ln w="25400">
              <a:noFill/>
            </a:ln>
            <a:effectLst/>
          </c:spPr>
          <c:invertIfNegative val="0"/>
          <c:cat>
            <c:numRef>
              <c:f>'Figura 6'!$A$4:$A$8</c:f>
              <c:numCache>
                <c:formatCode>General</c:formatCode>
                <c:ptCount val="5"/>
                <c:pt idx="0">
                  <c:v>2019</c:v>
                </c:pt>
                <c:pt idx="1">
                  <c:v>2020</c:v>
                </c:pt>
                <c:pt idx="2">
                  <c:v>2021</c:v>
                </c:pt>
                <c:pt idx="3">
                  <c:v>2022</c:v>
                </c:pt>
                <c:pt idx="4">
                  <c:v>2023</c:v>
                </c:pt>
              </c:numCache>
            </c:numRef>
          </c:cat>
          <c:val>
            <c:numRef>
              <c:f>'Figura 6'!$H$4:$H$8</c:f>
              <c:numCache>
                <c:formatCode>General</c:formatCode>
                <c:ptCount val="5"/>
                <c:pt idx="0">
                  <c:v>5983</c:v>
                </c:pt>
                <c:pt idx="1">
                  <c:v>5744</c:v>
                </c:pt>
                <c:pt idx="2">
                  <c:v>7420</c:v>
                </c:pt>
                <c:pt idx="3">
                  <c:v>6020</c:v>
                </c:pt>
                <c:pt idx="4">
                  <c:v>5773</c:v>
                </c:pt>
              </c:numCache>
            </c:numRef>
          </c:val>
          <c:extLst>
            <c:ext xmlns:c16="http://schemas.microsoft.com/office/drawing/2014/chart" uri="{C3380CC4-5D6E-409C-BE32-E72D297353CC}">
              <c16:uniqueId val="{00000002-CA53-4AD3-B6F6-91BCB6293D07}"/>
            </c:ext>
          </c:extLst>
        </c:ser>
        <c:dLbls>
          <c:showLegendKey val="0"/>
          <c:showVal val="0"/>
          <c:showCatName val="0"/>
          <c:showSerName val="0"/>
          <c:showPercent val="0"/>
          <c:showBubbleSize val="0"/>
        </c:dLbls>
        <c:gapWidth val="150"/>
        <c:axId val="1392287088"/>
        <c:axId val="1392286528"/>
      </c:barChart>
      <c:lineChart>
        <c:grouping val="standard"/>
        <c:varyColors val="0"/>
        <c:ser>
          <c:idx val="3"/>
          <c:order val="2"/>
          <c:tx>
            <c:strRef>
              <c:f>'Figura 6'!$K$3</c:f>
              <c:strCache>
                <c:ptCount val="1"/>
                <c:pt idx="0">
                  <c:v> % laureati sul totale espatriati di 25-34 anni</c:v>
                </c:pt>
              </c:strCache>
            </c:strRef>
          </c:tx>
          <c:spPr>
            <a:ln w="28575" cap="rnd">
              <a:noFill/>
              <a:round/>
            </a:ln>
            <a:effectLst/>
          </c:spPr>
          <c:marker>
            <c:symbol val="circle"/>
            <c:size val="7"/>
            <c:spPr>
              <a:solidFill>
                <a:schemeClr val="accent3"/>
              </a:solidFill>
              <a:ln w="9525">
                <a:noFill/>
              </a:ln>
              <a:effectLst/>
            </c:spPr>
          </c:marker>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'Figura 6'!$A$4:$A$8</c:f>
              <c:numCache>
                <c:formatCode>General</c:formatCode>
                <c:ptCount val="5"/>
                <c:pt idx="0">
                  <c:v>2019</c:v>
                </c:pt>
                <c:pt idx="1">
                  <c:v>2020</c:v>
                </c:pt>
                <c:pt idx="2">
                  <c:v>2021</c:v>
                </c:pt>
                <c:pt idx="3">
                  <c:v>2022</c:v>
                </c:pt>
                <c:pt idx="4">
                  <c:v>2023</c:v>
                </c:pt>
              </c:numCache>
            </c:numRef>
          </c:cat>
          <c:val>
            <c:numRef>
              <c:f>'Figura 6'!$K$4:$K$8</c:f>
              <c:numCache>
                <c:formatCode>0.0</c:formatCode>
                <c:ptCount val="5"/>
                <c:pt idx="0">
                  <c:v>38.714262413495817</c:v>
                </c:pt>
                <c:pt idx="1">
                  <c:v>45.64956795364867</c:v>
                </c:pt>
                <c:pt idx="2">
                  <c:v>45.660664951891015</c:v>
                </c:pt>
                <c:pt idx="3">
                  <c:v>50.6</c:v>
                </c:pt>
                <c:pt idx="4">
                  <c:v>50.888288800454809</c:v>
                </c:pt>
              </c:numCache>
            </c:numRef>
          </c:val>
          <c:smooth val="0"/>
          <c:extLst>
            <c:ext xmlns:c16="http://schemas.microsoft.com/office/drawing/2014/chart" uri="{C3380CC4-5D6E-409C-BE32-E72D297353CC}">
              <c16:uniqueId val="{00000003-CA53-4AD3-B6F6-91BCB6293D07}"/>
            </c:ext>
          </c:extLst>
        </c:ser>
        <c:dLbls>
          <c:showLegendKey val="0"/>
          <c:showVal val="0"/>
          <c:showCatName val="0"/>
          <c:showSerName val="0"/>
          <c:showPercent val="0"/>
          <c:showBubbleSize val="0"/>
        </c:dLbls>
        <c:marker val="1"/>
        <c:smooth val="0"/>
        <c:axId val="1392288208"/>
        <c:axId val="1392287648"/>
      </c:lineChart>
      <c:valAx>
        <c:axId val="1392286528"/>
        <c:scaling>
          <c:orientation val="minMax"/>
          <c:max val="30000"/>
          <c:min val="-25000"/>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crossAx val="1392287088"/>
        <c:crosses val="autoZero"/>
        <c:crossBetween val="between"/>
        <c:majorUnit val="10000"/>
        <c:minorUnit val="5000"/>
        <c:dispUnits>
          <c:builtInUnit val="thousands"/>
        </c:dispUnits>
      </c:valAx>
      <c:catAx>
        <c:axId val="1392287088"/>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low"/>
        <c:spPr>
          <a:noFill/>
          <a:ln w="9525" cap="flat" cmpd="sng" algn="ctr">
            <a:solidFill>
              <a:schemeClr val="accent1"/>
            </a:solidFill>
            <a:round/>
          </a:ln>
          <a:effectLst/>
        </c:spPr>
        <c:txPr>
          <a:bodyPr rot="-60000000" spcFirstLastPara="1" vertOverflow="ellipsis" vert="horz" wrap="square" anchor="ctr" anchorCtr="1"/>
          <a:lstStyle/>
          <a:p>
            <a:pPr>
              <a:defRPr sz="700" b="1"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it-IT"/>
          </a:p>
        </c:txPr>
        <c:crossAx val="1392286528"/>
        <c:crosses val="autoZero"/>
        <c:auto val="1"/>
        <c:lblAlgn val="ctr"/>
        <c:lblOffset val="100"/>
        <c:noMultiLvlLbl val="0"/>
      </c:catAx>
      <c:valAx>
        <c:axId val="1392287648"/>
        <c:scaling>
          <c:orientation val="minMax"/>
          <c:max val="60"/>
          <c:min val="-25"/>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crossAx val="1392288208"/>
        <c:crosses val="max"/>
        <c:crossBetween val="between"/>
      </c:valAx>
      <c:catAx>
        <c:axId val="1392288208"/>
        <c:scaling>
          <c:orientation val="minMax"/>
        </c:scaling>
        <c:delete val="1"/>
        <c:axPos val="b"/>
        <c:numFmt formatCode="General" sourceLinked="1"/>
        <c:majorTickMark val="out"/>
        <c:minorTickMark val="none"/>
        <c:tickLblPos val="nextTo"/>
        <c:crossAx val="139228764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cs typeface="Times New Roman" panose="02020603050405020304" pitchFamily="18"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91003753536756E-2"/>
          <c:y val="0.13025684019713366"/>
          <c:w val="0.83304906117504529"/>
          <c:h val="0.76654710247550006"/>
        </c:manualLayout>
      </c:layout>
      <c:areaChart>
        <c:grouping val="standard"/>
        <c:varyColors val="0"/>
        <c:ser>
          <c:idx val="2"/>
          <c:order val="0"/>
          <c:tx>
            <c:strRef>
              <c:f>'Figura 6'!$L$11</c:f>
              <c:strCache>
                <c:ptCount val="1"/>
                <c:pt idx="0">
                  <c:v>Saldo migratorio laureati 25-34 anni</c:v>
                </c:pt>
              </c:strCache>
            </c:strRef>
          </c:tx>
          <c:spPr>
            <a:pattFill prst="dkUpDiag">
              <a:fgClr>
                <a:srgbClr val="C00000"/>
              </a:fgClr>
              <a:bgClr>
                <a:schemeClr val="bg1"/>
              </a:bgClr>
            </a:pattFill>
            <a:ln cap="rnd">
              <a:solidFill>
                <a:schemeClr val="accent1"/>
              </a:solidFill>
              <a:round/>
            </a:ln>
            <a:effectLst/>
          </c:spPr>
          <c:cat>
            <c:numRef>
              <c:f>'Figura 6'!$A$4:$A$8</c:f>
              <c:numCache>
                <c:formatCode>General</c:formatCode>
                <c:ptCount val="5"/>
                <c:pt idx="0">
                  <c:v>2019</c:v>
                </c:pt>
                <c:pt idx="1">
                  <c:v>2020</c:v>
                </c:pt>
                <c:pt idx="2">
                  <c:v>2021</c:v>
                </c:pt>
                <c:pt idx="3">
                  <c:v>2022</c:v>
                </c:pt>
                <c:pt idx="4">
                  <c:v>2023</c:v>
                </c:pt>
              </c:numCache>
            </c:numRef>
          </c:cat>
          <c:val>
            <c:numRef>
              <c:f>'Figura 6'!$L$12:$L$16</c:f>
              <c:numCache>
                <c:formatCode>General</c:formatCode>
                <c:ptCount val="5"/>
                <c:pt idx="0">
                  <c:v>12893</c:v>
                </c:pt>
                <c:pt idx="1">
                  <c:v>8574</c:v>
                </c:pt>
                <c:pt idx="2">
                  <c:v>11776</c:v>
                </c:pt>
                <c:pt idx="3">
                  <c:v>15067</c:v>
                </c:pt>
                <c:pt idx="4">
                  <c:v>19367</c:v>
                </c:pt>
              </c:numCache>
            </c:numRef>
          </c:val>
          <c:extLst>
            <c:ext xmlns:c16="http://schemas.microsoft.com/office/drawing/2014/chart" uri="{C3380CC4-5D6E-409C-BE32-E72D297353CC}">
              <c16:uniqueId val="{00000000-2532-4120-A7D8-C557CC679C61}"/>
            </c:ext>
          </c:extLst>
        </c:ser>
        <c:dLbls>
          <c:showLegendKey val="0"/>
          <c:showVal val="0"/>
          <c:showCatName val="0"/>
          <c:showSerName val="0"/>
          <c:showPercent val="0"/>
          <c:showBubbleSize val="0"/>
        </c:dLbls>
        <c:axId val="1392287088"/>
        <c:axId val="1392286528"/>
      </c:areaChart>
      <c:barChart>
        <c:barDir val="col"/>
        <c:grouping val="clustered"/>
        <c:varyColors val="0"/>
        <c:ser>
          <c:idx val="4"/>
          <c:order val="2"/>
          <c:tx>
            <c:strRef>
              <c:f>'Figura 6'!$M$11</c:f>
              <c:strCache>
                <c:ptCount val="1"/>
                <c:pt idx="0">
                  <c:v>emigrati laureati 25-34</c:v>
                </c:pt>
              </c:strCache>
            </c:strRef>
          </c:tx>
          <c:spPr>
            <a:solidFill>
              <a:schemeClr val="tx2"/>
            </a:solidFill>
            <a:ln w="25400">
              <a:noFill/>
            </a:ln>
            <a:effectLst/>
          </c:spPr>
          <c:invertIfNegative val="0"/>
          <c:cat>
            <c:numRef>
              <c:f>'Figura 6'!$A$12:$A$16</c:f>
              <c:numCache>
                <c:formatCode>General</c:formatCode>
                <c:ptCount val="5"/>
                <c:pt idx="0">
                  <c:v>2019</c:v>
                </c:pt>
                <c:pt idx="1">
                  <c:v>2020</c:v>
                </c:pt>
                <c:pt idx="2">
                  <c:v>2021</c:v>
                </c:pt>
                <c:pt idx="3">
                  <c:v>2022</c:v>
                </c:pt>
                <c:pt idx="4">
                  <c:v>2023</c:v>
                </c:pt>
              </c:numCache>
            </c:numRef>
          </c:cat>
          <c:val>
            <c:numRef>
              <c:f>'Figura 6'!$M$12:$M$16</c:f>
              <c:numCache>
                <c:formatCode>General</c:formatCode>
                <c:ptCount val="5"/>
                <c:pt idx="0">
                  <c:v>2128</c:v>
                </c:pt>
                <c:pt idx="1">
                  <c:v>1534</c:v>
                </c:pt>
                <c:pt idx="2">
                  <c:v>2725</c:v>
                </c:pt>
                <c:pt idx="3">
                  <c:v>1806</c:v>
                </c:pt>
                <c:pt idx="4">
                  <c:v>1560</c:v>
                </c:pt>
              </c:numCache>
            </c:numRef>
          </c:val>
          <c:extLst>
            <c:ext xmlns:c16="http://schemas.microsoft.com/office/drawing/2014/chart" uri="{C3380CC4-5D6E-409C-BE32-E72D297353CC}">
              <c16:uniqueId val="{00000001-2532-4120-A7D8-C557CC679C61}"/>
            </c:ext>
          </c:extLst>
        </c:ser>
        <c:ser>
          <c:idx val="1"/>
          <c:order val="3"/>
          <c:tx>
            <c:strRef>
              <c:f>'Figura 6'!$G$11</c:f>
              <c:strCache>
                <c:ptCount val="1"/>
                <c:pt idx="0">
                  <c:v>Immigrati laureati 25-34</c:v>
                </c:pt>
              </c:strCache>
            </c:strRef>
          </c:tx>
          <c:spPr>
            <a:solidFill>
              <a:srgbClr val="E42618"/>
            </a:solidFill>
            <a:ln w="25400">
              <a:noFill/>
            </a:ln>
            <a:effectLst/>
          </c:spPr>
          <c:invertIfNegative val="0"/>
          <c:cat>
            <c:numRef>
              <c:f>'Figura 6'!$A$12:$A$16</c:f>
              <c:numCache>
                <c:formatCode>General</c:formatCode>
                <c:ptCount val="5"/>
                <c:pt idx="0">
                  <c:v>2019</c:v>
                </c:pt>
                <c:pt idx="1">
                  <c:v>2020</c:v>
                </c:pt>
                <c:pt idx="2">
                  <c:v>2021</c:v>
                </c:pt>
                <c:pt idx="3">
                  <c:v>2022</c:v>
                </c:pt>
                <c:pt idx="4">
                  <c:v>2023</c:v>
                </c:pt>
              </c:numCache>
            </c:numRef>
          </c:cat>
          <c:val>
            <c:numRef>
              <c:f>'Figura 6'!$G$12:$G$16</c:f>
              <c:numCache>
                <c:formatCode>General</c:formatCode>
                <c:ptCount val="5"/>
                <c:pt idx="0">
                  <c:v>15021</c:v>
                </c:pt>
                <c:pt idx="1">
                  <c:v>10108</c:v>
                </c:pt>
                <c:pt idx="2">
                  <c:v>14501</c:v>
                </c:pt>
                <c:pt idx="3">
                  <c:v>16873</c:v>
                </c:pt>
                <c:pt idx="4">
                  <c:v>20927</c:v>
                </c:pt>
              </c:numCache>
            </c:numRef>
          </c:val>
          <c:extLst>
            <c:ext xmlns:c16="http://schemas.microsoft.com/office/drawing/2014/chart" uri="{C3380CC4-5D6E-409C-BE32-E72D297353CC}">
              <c16:uniqueId val="{00000002-2532-4120-A7D8-C557CC679C61}"/>
            </c:ext>
          </c:extLst>
        </c:ser>
        <c:dLbls>
          <c:showLegendKey val="0"/>
          <c:showVal val="0"/>
          <c:showCatName val="0"/>
          <c:showSerName val="0"/>
          <c:showPercent val="0"/>
          <c:showBubbleSize val="0"/>
        </c:dLbls>
        <c:gapWidth val="150"/>
        <c:axId val="1392287088"/>
        <c:axId val="1392286528"/>
      </c:barChart>
      <c:lineChart>
        <c:grouping val="standard"/>
        <c:varyColors val="0"/>
        <c:ser>
          <c:idx val="3"/>
          <c:order val="1"/>
          <c:tx>
            <c:strRef>
              <c:f>'Figura 6'!$K$11</c:f>
              <c:strCache>
                <c:ptCount val="1"/>
                <c:pt idx="0">
                  <c:v> % laureati sul totale espatri/immigrati stranieri di 25-34 anni</c:v>
                </c:pt>
              </c:strCache>
            </c:strRef>
          </c:tx>
          <c:spPr>
            <a:ln w="28575" cap="rnd">
              <a:noFill/>
              <a:round/>
            </a:ln>
            <a:effectLst/>
          </c:spPr>
          <c:marker>
            <c:symbol val="circle"/>
            <c:size val="7"/>
            <c:spPr>
              <a:solidFill>
                <a:schemeClr val="accent3"/>
              </a:solidFill>
              <a:ln w="9525">
                <a:noFill/>
              </a:ln>
              <a:effectLst/>
            </c:spPr>
          </c:marker>
          <c:dLbls>
            <c:dLbl>
              <c:idx val="0"/>
              <c:layout>
                <c:manualLayout>
                  <c:x val="-0.11022657685241888"/>
                  <c:y val="-2.79251605696733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532-4120-A7D8-C557CC679C61}"/>
                </c:ext>
              </c:extLst>
            </c:dLbl>
            <c:dLbl>
              <c:idx val="1"/>
              <c:layout>
                <c:manualLayout>
                  <c:x val="-0.11430904266176771"/>
                  <c:y val="-4.4680256911477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532-4120-A7D8-C557CC679C61}"/>
                </c:ext>
              </c:extLst>
            </c:dLbl>
            <c:dLbl>
              <c:idx val="2"/>
              <c:layout>
                <c:manualLayout>
                  <c:x val="-0.11839150847111655"/>
                  <c:y val="-3.9095224797542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532-4120-A7D8-C557CC679C61}"/>
                </c:ext>
              </c:extLst>
            </c:dLbl>
            <c:dLbl>
              <c:idx val="3"/>
              <c:layout>
                <c:manualLayout>
                  <c:x val="-0.11022657685241893"/>
                  <c:y val="-5.02652890254119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532-4120-A7D8-C557CC679C61}"/>
                </c:ext>
              </c:extLst>
            </c:dLbl>
            <c:dLbl>
              <c:idx val="4"/>
              <c:layout>
                <c:manualLayout>
                  <c:x val="-0.11022657685241886"/>
                  <c:y val="-5.5850321139346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532-4120-A7D8-C557CC679C61}"/>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 6'!$A$12:$A$16</c:f>
              <c:numCache>
                <c:formatCode>General</c:formatCode>
                <c:ptCount val="5"/>
                <c:pt idx="0">
                  <c:v>2019</c:v>
                </c:pt>
                <c:pt idx="1">
                  <c:v>2020</c:v>
                </c:pt>
                <c:pt idx="2">
                  <c:v>2021</c:v>
                </c:pt>
                <c:pt idx="3">
                  <c:v>2022</c:v>
                </c:pt>
                <c:pt idx="4">
                  <c:v>2023</c:v>
                </c:pt>
              </c:numCache>
            </c:numRef>
          </c:cat>
          <c:val>
            <c:numRef>
              <c:f>'Figura 6'!$K$12:$K$16</c:f>
              <c:numCache>
                <c:formatCode>0.0</c:formatCode>
                <c:ptCount val="5"/>
                <c:pt idx="0">
                  <c:v>20.338501117053688</c:v>
                </c:pt>
                <c:pt idx="1">
                  <c:v>18.024572478111235</c:v>
                </c:pt>
                <c:pt idx="2">
                  <c:v>19.790913185298411</c:v>
                </c:pt>
                <c:pt idx="3">
                  <c:v>17.601527211274657</c:v>
                </c:pt>
                <c:pt idx="4">
                  <c:v>19.470599181243024</c:v>
                </c:pt>
              </c:numCache>
            </c:numRef>
          </c:val>
          <c:smooth val="0"/>
          <c:extLst>
            <c:ext xmlns:c16="http://schemas.microsoft.com/office/drawing/2014/chart" uri="{C3380CC4-5D6E-409C-BE32-E72D297353CC}">
              <c16:uniqueId val="{00000003-2532-4120-A7D8-C557CC679C61}"/>
            </c:ext>
          </c:extLst>
        </c:ser>
        <c:dLbls>
          <c:showLegendKey val="0"/>
          <c:showVal val="0"/>
          <c:showCatName val="0"/>
          <c:showSerName val="0"/>
          <c:showPercent val="0"/>
          <c:showBubbleSize val="0"/>
        </c:dLbls>
        <c:marker val="1"/>
        <c:smooth val="0"/>
        <c:axId val="1392288208"/>
        <c:axId val="1392287648"/>
      </c:lineChart>
      <c:valAx>
        <c:axId val="1392286528"/>
        <c:scaling>
          <c:orientation val="minMax"/>
          <c:max val="30000"/>
          <c:min val="-25000"/>
        </c:scaling>
        <c:delete val="0"/>
        <c:axPos val="l"/>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crossAx val="1392287088"/>
        <c:crosses val="autoZero"/>
        <c:crossBetween val="between"/>
        <c:majorUnit val="10000"/>
        <c:minorUnit val="5000"/>
      </c:valAx>
      <c:catAx>
        <c:axId val="1392287088"/>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95000"/>
                    <a:lumOff val="5000"/>
                  </a:schemeClr>
                </a:solidFill>
                <a:latin typeface="Arial Narrow" panose="020B0606020202030204" pitchFamily="34" charset="0"/>
                <a:ea typeface="+mn-ea"/>
                <a:cs typeface="Times New Roman" panose="02020603050405020304" pitchFamily="18" charset="0"/>
              </a:defRPr>
            </a:pPr>
            <a:endParaRPr lang="it-IT"/>
          </a:p>
        </c:txPr>
        <c:crossAx val="1392286528"/>
        <c:crosses val="autoZero"/>
        <c:auto val="1"/>
        <c:lblAlgn val="ctr"/>
        <c:lblOffset val="100"/>
        <c:noMultiLvlLbl val="0"/>
      </c:catAx>
      <c:valAx>
        <c:axId val="1392287648"/>
        <c:scaling>
          <c:orientation val="minMax"/>
          <c:max val="60"/>
          <c:min val="-25"/>
        </c:scaling>
        <c:delete val="0"/>
        <c:axPos val="r"/>
        <c:majorGridlines>
          <c:spPr>
            <a:ln w="3175" cap="flat" cmpd="sng" algn="ctr">
              <a:solidFill>
                <a:schemeClr val="bg1"/>
              </a:solidFill>
              <a:round/>
            </a:ln>
            <a:effectLst/>
          </c:spPr>
        </c:majorGridlines>
        <c:numFmt formatCode="0.0"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it-IT"/>
          </a:p>
        </c:txPr>
        <c:crossAx val="1392288208"/>
        <c:crosses val="max"/>
        <c:crossBetween val="between"/>
      </c:valAx>
      <c:catAx>
        <c:axId val="1392288208"/>
        <c:scaling>
          <c:orientation val="minMax"/>
        </c:scaling>
        <c:delete val="1"/>
        <c:axPos val="b"/>
        <c:numFmt formatCode="General" sourceLinked="1"/>
        <c:majorTickMark val="out"/>
        <c:minorTickMark val="none"/>
        <c:tickLblPos val="nextTo"/>
        <c:crossAx val="139228764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cs typeface="Times New Roman" panose="02020603050405020304" pitchFamily="18"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2"/>
          <c:order val="2"/>
          <c:tx>
            <c:strRef>
              <c:f>'Figura 7'!$D$100</c:f>
              <c:strCache>
                <c:ptCount val="1"/>
                <c:pt idx="0">
                  <c:v>guadagno/perdita</c:v>
                </c:pt>
              </c:strCache>
            </c:strRef>
          </c:tx>
          <c:spPr>
            <a:pattFill prst="dkUpDiag">
              <a:fgClr>
                <a:srgbClr val="0070C0"/>
              </a:fgClr>
              <a:bgClr>
                <a:schemeClr val="bg1"/>
              </a:bgClr>
            </a:pattFill>
            <a:ln>
              <a:noFill/>
            </a:ln>
            <a:effectLst/>
          </c:spPr>
          <c:cat>
            <c:strRef>
              <c:f>'Figura 7'!$A$101:$A$121</c:f>
              <c:strCache>
                <c:ptCount val="21"/>
                <c:pt idx="0">
                  <c:v>Lombardia</c:v>
                </c:pt>
                <c:pt idx="1">
                  <c:v>Emilia-Romagna</c:v>
                </c:pt>
                <c:pt idx="2">
                  <c:v>Lazio</c:v>
                </c:pt>
                <c:pt idx="3">
                  <c:v>Piemonte</c:v>
                </c:pt>
                <c:pt idx="4">
                  <c:v>Toscana</c:v>
                </c:pt>
                <c:pt idx="5">
                  <c:v>Trento</c:v>
                </c:pt>
                <c:pt idx="6">
                  <c:v>Valle d'Aosta</c:v>
                </c:pt>
                <c:pt idx="7">
                  <c:v>Bolzano</c:v>
                </c:pt>
                <c:pt idx="8">
                  <c:v>Friuli-Venezia Giulia</c:v>
                </c:pt>
                <c:pt idx="9">
                  <c:v>Liguria</c:v>
                </c:pt>
                <c:pt idx="10">
                  <c:v>Umbria</c:v>
                </c:pt>
                <c:pt idx="11">
                  <c:v>Molise</c:v>
                </c:pt>
                <c:pt idx="12">
                  <c:v>Veneto</c:v>
                </c:pt>
                <c:pt idx="13">
                  <c:v>Marche</c:v>
                </c:pt>
                <c:pt idx="14">
                  <c:v>Sardegna</c:v>
                </c:pt>
                <c:pt idx="15">
                  <c:v>Basilicata</c:v>
                </c:pt>
                <c:pt idx="16">
                  <c:v>Abruzzo</c:v>
                </c:pt>
                <c:pt idx="17">
                  <c:v>Calabria</c:v>
                </c:pt>
                <c:pt idx="18">
                  <c:v>Puglia</c:v>
                </c:pt>
                <c:pt idx="19">
                  <c:v>Sicilia</c:v>
                </c:pt>
                <c:pt idx="20">
                  <c:v>Campania</c:v>
                </c:pt>
              </c:strCache>
            </c:strRef>
          </c:cat>
          <c:val>
            <c:numRef>
              <c:f>'Figura 7'!$D$101:$D$121</c:f>
              <c:numCache>
                <c:formatCode>General</c:formatCode>
                <c:ptCount val="21"/>
                <c:pt idx="0">
                  <c:v>35435</c:v>
                </c:pt>
                <c:pt idx="1">
                  <c:v>19878</c:v>
                </c:pt>
                <c:pt idx="2">
                  <c:v>4755</c:v>
                </c:pt>
                <c:pt idx="3">
                  <c:v>4415</c:v>
                </c:pt>
                <c:pt idx="4">
                  <c:v>1358</c:v>
                </c:pt>
                <c:pt idx="5">
                  <c:v>311</c:v>
                </c:pt>
                <c:pt idx="6">
                  <c:v>-204</c:v>
                </c:pt>
                <c:pt idx="7">
                  <c:v>-320</c:v>
                </c:pt>
                <c:pt idx="8">
                  <c:v>-781</c:v>
                </c:pt>
                <c:pt idx="9">
                  <c:v>-1250</c:v>
                </c:pt>
                <c:pt idx="10">
                  <c:v>-2288</c:v>
                </c:pt>
                <c:pt idx="11">
                  <c:v>-2849</c:v>
                </c:pt>
                <c:pt idx="12">
                  <c:v>-4564</c:v>
                </c:pt>
                <c:pt idx="13">
                  <c:v>-4894</c:v>
                </c:pt>
                <c:pt idx="14">
                  <c:v>-5033</c:v>
                </c:pt>
                <c:pt idx="15">
                  <c:v>-5580</c:v>
                </c:pt>
                <c:pt idx="16">
                  <c:v>-5989</c:v>
                </c:pt>
                <c:pt idx="17">
                  <c:v>-17269</c:v>
                </c:pt>
                <c:pt idx="18">
                  <c:v>-26880</c:v>
                </c:pt>
                <c:pt idx="19">
                  <c:v>-31401</c:v>
                </c:pt>
                <c:pt idx="20">
                  <c:v>-36878</c:v>
                </c:pt>
              </c:numCache>
            </c:numRef>
          </c:val>
          <c:extLst>
            <c:ext xmlns:c16="http://schemas.microsoft.com/office/drawing/2014/chart" uri="{C3380CC4-5D6E-409C-BE32-E72D297353CC}">
              <c16:uniqueId val="{00000000-92FB-F644-A3AD-7062B462E7A6}"/>
            </c:ext>
          </c:extLst>
        </c:ser>
        <c:dLbls>
          <c:showLegendKey val="0"/>
          <c:showVal val="0"/>
          <c:showCatName val="0"/>
          <c:showSerName val="0"/>
          <c:showPercent val="0"/>
          <c:showBubbleSize val="0"/>
        </c:dLbls>
        <c:axId val="2000898687"/>
        <c:axId val="2000891007"/>
      </c:areaChart>
      <c:barChart>
        <c:barDir val="col"/>
        <c:grouping val="clustered"/>
        <c:varyColors val="0"/>
        <c:ser>
          <c:idx val="0"/>
          <c:order val="0"/>
          <c:tx>
            <c:strRef>
              <c:f>'Figura 7'!$B$100</c:f>
              <c:strCache>
                <c:ptCount val="1"/>
                <c:pt idx="0">
                  <c:v>saldo interno</c:v>
                </c:pt>
              </c:strCache>
            </c:strRef>
          </c:tx>
          <c:spPr>
            <a:solidFill>
              <a:srgbClr val="1F497D"/>
            </a:solidFill>
            <a:ln>
              <a:noFill/>
            </a:ln>
            <a:effectLst/>
          </c:spPr>
          <c:invertIfNegative val="0"/>
          <c:cat>
            <c:strRef>
              <c:f>'Figura 7'!$A$101:$A$121</c:f>
              <c:strCache>
                <c:ptCount val="21"/>
                <c:pt idx="0">
                  <c:v>Lombardia</c:v>
                </c:pt>
                <c:pt idx="1">
                  <c:v>Emilia-Romagna</c:v>
                </c:pt>
                <c:pt idx="2">
                  <c:v>Lazio</c:v>
                </c:pt>
                <c:pt idx="3">
                  <c:v>Piemonte</c:v>
                </c:pt>
                <c:pt idx="4">
                  <c:v>Toscana</c:v>
                </c:pt>
                <c:pt idx="5">
                  <c:v>Trento</c:v>
                </c:pt>
                <c:pt idx="6">
                  <c:v>Valle d'Aosta</c:v>
                </c:pt>
                <c:pt idx="7">
                  <c:v>Bolzano</c:v>
                </c:pt>
                <c:pt idx="8">
                  <c:v>Friuli-Venezia Giulia</c:v>
                </c:pt>
                <c:pt idx="9">
                  <c:v>Liguria</c:v>
                </c:pt>
                <c:pt idx="10">
                  <c:v>Umbria</c:v>
                </c:pt>
                <c:pt idx="11">
                  <c:v>Molise</c:v>
                </c:pt>
                <c:pt idx="12">
                  <c:v>Veneto</c:v>
                </c:pt>
                <c:pt idx="13">
                  <c:v>Marche</c:v>
                </c:pt>
                <c:pt idx="14">
                  <c:v>Sardegna</c:v>
                </c:pt>
                <c:pt idx="15">
                  <c:v>Basilicata</c:v>
                </c:pt>
                <c:pt idx="16">
                  <c:v>Abruzzo</c:v>
                </c:pt>
                <c:pt idx="17">
                  <c:v>Calabria</c:v>
                </c:pt>
                <c:pt idx="18">
                  <c:v>Puglia</c:v>
                </c:pt>
                <c:pt idx="19">
                  <c:v>Sicilia</c:v>
                </c:pt>
                <c:pt idx="20">
                  <c:v>Campania</c:v>
                </c:pt>
              </c:strCache>
            </c:strRef>
          </c:cat>
          <c:val>
            <c:numRef>
              <c:f>'Figura 7'!$B$101:$B$121</c:f>
              <c:numCache>
                <c:formatCode>General</c:formatCode>
                <c:ptCount val="21"/>
                <c:pt idx="0">
                  <c:v>51312</c:v>
                </c:pt>
                <c:pt idx="1">
                  <c:v>25200</c:v>
                </c:pt>
                <c:pt idx="2">
                  <c:v>10586</c:v>
                </c:pt>
                <c:pt idx="3">
                  <c:v>10372</c:v>
                </c:pt>
                <c:pt idx="4">
                  <c:v>5230</c:v>
                </c:pt>
                <c:pt idx="5">
                  <c:v>1352</c:v>
                </c:pt>
                <c:pt idx="6">
                  <c:v>35</c:v>
                </c:pt>
                <c:pt idx="7">
                  <c:v>866</c:v>
                </c:pt>
                <c:pt idx="8">
                  <c:v>1446</c:v>
                </c:pt>
                <c:pt idx="9">
                  <c:v>503</c:v>
                </c:pt>
                <c:pt idx="10">
                  <c:v>-1141</c:v>
                </c:pt>
                <c:pt idx="11">
                  <c:v>-2298</c:v>
                </c:pt>
                <c:pt idx="12">
                  <c:v>3843</c:v>
                </c:pt>
                <c:pt idx="13">
                  <c:v>-2573</c:v>
                </c:pt>
                <c:pt idx="14">
                  <c:v>-2898</c:v>
                </c:pt>
                <c:pt idx="15">
                  <c:v>-4851</c:v>
                </c:pt>
                <c:pt idx="16">
                  <c:v>-4126</c:v>
                </c:pt>
                <c:pt idx="17">
                  <c:v>-14779</c:v>
                </c:pt>
                <c:pt idx="18">
                  <c:v>-22311</c:v>
                </c:pt>
                <c:pt idx="19">
                  <c:v>-25813</c:v>
                </c:pt>
                <c:pt idx="20">
                  <c:v>-29955</c:v>
                </c:pt>
              </c:numCache>
            </c:numRef>
          </c:val>
          <c:extLst>
            <c:ext xmlns:c16="http://schemas.microsoft.com/office/drawing/2014/chart" uri="{C3380CC4-5D6E-409C-BE32-E72D297353CC}">
              <c16:uniqueId val="{00000001-92FB-F644-A3AD-7062B462E7A6}"/>
            </c:ext>
          </c:extLst>
        </c:ser>
        <c:ser>
          <c:idx val="1"/>
          <c:order val="1"/>
          <c:tx>
            <c:strRef>
              <c:f>'Figura 7'!$C$100</c:f>
              <c:strCache>
                <c:ptCount val="1"/>
                <c:pt idx="0">
                  <c:v>saldo estero</c:v>
                </c:pt>
              </c:strCache>
            </c:strRef>
          </c:tx>
          <c:spPr>
            <a:solidFill>
              <a:srgbClr val="E42618"/>
            </a:solidFill>
            <a:ln>
              <a:noFill/>
            </a:ln>
            <a:effectLst/>
          </c:spPr>
          <c:invertIfNegative val="0"/>
          <c:cat>
            <c:strRef>
              <c:f>'Figura 7'!$A$101:$A$121</c:f>
              <c:strCache>
                <c:ptCount val="21"/>
                <c:pt idx="0">
                  <c:v>Lombardia</c:v>
                </c:pt>
                <c:pt idx="1">
                  <c:v>Emilia-Romagna</c:v>
                </c:pt>
                <c:pt idx="2">
                  <c:v>Lazio</c:v>
                </c:pt>
                <c:pt idx="3">
                  <c:v>Piemonte</c:v>
                </c:pt>
                <c:pt idx="4">
                  <c:v>Toscana</c:v>
                </c:pt>
                <c:pt idx="5">
                  <c:v>Trento</c:v>
                </c:pt>
                <c:pt idx="6">
                  <c:v>Valle d'Aosta</c:v>
                </c:pt>
                <c:pt idx="7">
                  <c:v>Bolzano</c:v>
                </c:pt>
                <c:pt idx="8">
                  <c:v>Friuli-Venezia Giulia</c:v>
                </c:pt>
                <c:pt idx="9">
                  <c:v>Liguria</c:v>
                </c:pt>
                <c:pt idx="10">
                  <c:v>Umbria</c:v>
                </c:pt>
                <c:pt idx="11">
                  <c:v>Molise</c:v>
                </c:pt>
                <c:pt idx="12">
                  <c:v>Veneto</c:v>
                </c:pt>
                <c:pt idx="13">
                  <c:v>Marche</c:v>
                </c:pt>
                <c:pt idx="14">
                  <c:v>Sardegna</c:v>
                </c:pt>
                <c:pt idx="15">
                  <c:v>Basilicata</c:v>
                </c:pt>
                <c:pt idx="16">
                  <c:v>Abruzzo</c:v>
                </c:pt>
                <c:pt idx="17">
                  <c:v>Calabria</c:v>
                </c:pt>
                <c:pt idx="18">
                  <c:v>Puglia</c:v>
                </c:pt>
                <c:pt idx="19">
                  <c:v>Sicilia</c:v>
                </c:pt>
                <c:pt idx="20">
                  <c:v>Campania</c:v>
                </c:pt>
              </c:strCache>
            </c:strRef>
          </c:cat>
          <c:val>
            <c:numRef>
              <c:f>'Figura 7'!$C$101:$C$121</c:f>
              <c:numCache>
                <c:formatCode>General</c:formatCode>
                <c:ptCount val="21"/>
                <c:pt idx="0">
                  <c:v>-15877</c:v>
                </c:pt>
                <c:pt idx="1">
                  <c:v>-5322</c:v>
                </c:pt>
                <c:pt idx="2">
                  <c:v>-5831</c:v>
                </c:pt>
                <c:pt idx="3">
                  <c:v>-5957</c:v>
                </c:pt>
                <c:pt idx="4">
                  <c:v>-3872</c:v>
                </c:pt>
                <c:pt idx="5">
                  <c:v>-1041</c:v>
                </c:pt>
                <c:pt idx="6">
                  <c:v>-239</c:v>
                </c:pt>
                <c:pt idx="7">
                  <c:v>-1186</c:v>
                </c:pt>
                <c:pt idx="8">
                  <c:v>-2227</c:v>
                </c:pt>
                <c:pt idx="9">
                  <c:v>-1753</c:v>
                </c:pt>
                <c:pt idx="10">
                  <c:v>-1147</c:v>
                </c:pt>
                <c:pt idx="11">
                  <c:v>-551</c:v>
                </c:pt>
                <c:pt idx="12">
                  <c:v>-8407</c:v>
                </c:pt>
                <c:pt idx="13">
                  <c:v>-2321</c:v>
                </c:pt>
                <c:pt idx="14">
                  <c:v>-2135</c:v>
                </c:pt>
                <c:pt idx="15">
                  <c:v>-729</c:v>
                </c:pt>
                <c:pt idx="16">
                  <c:v>-1863</c:v>
                </c:pt>
                <c:pt idx="17">
                  <c:v>-2490</c:v>
                </c:pt>
                <c:pt idx="18">
                  <c:v>-4569</c:v>
                </c:pt>
                <c:pt idx="19">
                  <c:v>-5588</c:v>
                </c:pt>
                <c:pt idx="20">
                  <c:v>-6923</c:v>
                </c:pt>
              </c:numCache>
            </c:numRef>
          </c:val>
          <c:extLst>
            <c:ext xmlns:c16="http://schemas.microsoft.com/office/drawing/2014/chart" uri="{C3380CC4-5D6E-409C-BE32-E72D297353CC}">
              <c16:uniqueId val="{00000002-92FB-F644-A3AD-7062B462E7A6}"/>
            </c:ext>
          </c:extLst>
        </c:ser>
        <c:dLbls>
          <c:showLegendKey val="0"/>
          <c:showVal val="0"/>
          <c:showCatName val="0"/>
          <c:showSerName val="0"/>
          <c:showPercent val="0"/>
          <c:showBubbleSize val="0"/>
        </c:dLbls>
        <c:gapWidth val="219"/>
        <c:overlap val="-27"/>
        <c:axId val="2000898687"/>
        <c:axId val="2000891007"/>
      </c:barChart>
      <c:catAx>
        <c:axId val="2000898687"/>
        <c:scaling>
          <c:orientation val="minMax"/>
        </c:scaling>
        <c:delete val="0"/>
        <c:axPos val="b"/>
        <c:majorGridlines>
          <c:spPr>
            <a:ln w="6350" cap="flat" cmpd="sng" algn="ctr">
              <a:solidFill>
                <a:sysClr val="window" lastClr="FFFFFF"/>
              </a:solidFill>
              <a:round/>
            </a:ln>
            <a:effectLst/>
          </c:spPr>
        </c:majorGridlines>
        <c:numFmt formatCode="General" sourceLinked="1"/>
        <c:majorTickMark val="none"/>
        <c:minorTickMark val="none"/>
        <c:tickLblPos val="low"/>
        <c:spPr>
          <a:noFill/>
          <a:ln w="9525" cap="flat" cmpd="sng" algn="ctr">
            <a:solidFill>
              <a:sysClr val="window" lastClr="FFFFFF"/>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it-IT"/>
          </a:p>
        </c:txPr>
        <c:crossAx val="2000891007"/>
        <c:crosses val="autoZero"/>
        <c:auto val="1"/>
        <c:lblAlgn val="ctr"/>
        <c:lblOffset val="100"/>
        <c:noMultiLvlLbl val="0"/>
      </c:catAx>
      <c:valAx>
        <c:axId val="2000891007"/>
        <c:scaling>
          <c:orientation val="minMax"/>
          <c:max val="60000"/>
          <c:min val="-60000"/>
        </c:scaling>
        <c:delete val="0"/>
        <c:axPos val="l"/>
        <c:majorGridlines>
          <c:spPr>
            <a:ln w="6350" cap="flat" cmpd="sng" algn="ctr">
              <a:solidFill>
                <a:sysClr val="window" lastClr="FFFFFF"/>
              </a:solidFill>
              <a:round/>
            </a:ln>
            <a:effectLst/>
          </c:spPr>
        </c:majorGridlines>
        <c:numFmt formatCode="General" sourceLinked="1"/>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2000898687"/>
        <c:crosses val="autoZero"/>
        <c:crossBetween val="between"/>
        <c:majorUnit val="15000"/>
        <c:dispUnits>
          <c:builtInUnit val="thousands"/>
        </c:dispUnits>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Arial Narrow" panose="020B0606020202030204" pitchFamily="34"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0.09991</cdr:x>
      <cdr:y>0.13186</cdr:y>
    </cdr:from>
    <cdr:to>
      <cdr:x>0.23824</cdr:x>
      <cdr:y>0.3269</cdr:y>
    </cdr:to>
    <cdr:sp macro="" textlink="">
      <cdr:nvSpPr>
        <cdr:cNvPr id="2" name="Ovale 1"/>
        <cdr:cNvSpPr/>
      </cdr:nvSpPr>
      <cdr:spPr>
        <a:xfrm xmlns:a="http://schemas.openxmlformats.org/drawingml/2006/main">
          <a:off x="638299" y="310475"/>
          <a:ext cx="883772" cy="459242"/>
        </a:xfrm>
        <a:prstGeom xmlns:a="http://schemas.openxmlformats.org/drawingml/2006/main" prst="ellipse">
          <a:avLst/>
        </a:prstGeom>
        <a:noFill xmlns:a="http://schemas.openxmlformats.org/drawingml/2006/main"/>
        <a:ln xmlns:a="http://schemas.openxmlformats.org/drawingml/2006/main">
          <a:solidFill>
            <a:schemeClr val="tx2"/>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it-IT" sz="800" b="1">
              <a:solidFill>
                <a:schemeClr val="tx2"/>
              </a:solidFill>
              <a:latin typeface="Arial Narrow" panose="020B0606020202030204" pitchFamily="34" charset="0"/>
            </a:rPr>
            <a:t>Mediana stranieri:</a:t>
          </a:r>
        </a:p>
        <a:p xmlns:a="http://schemas.openxmlformats.org/drawingml/2006/main">
          <a:r>
            <a:rPr lang="it-IT" sz="800" b="1">
              <a:solidFill>
                <a:schemeClr val="tx2"/>
              </a:solidFill>
              <a:latin typeface="Arial Narrow" panose="020B0606020202030204" pitchFamily="34" charset="0"/>
            </a:rPr>
            <a:t>29 anni</a:t>
          </a:r>
        </a:p>
      </cdr:txBody>
    </cdr:sp>
  </cdr:relSizeAnchor>
</c:userShapes>
</file>

<file path=word/drawings/drawing2.xml><?xml version="1.0" encoding="utf-8"?>
<c:userShapes xmlns:c="http://schemas.openxmlformats.org/drawingml/2006/chart">
  <cdr:relSizeAnchor xmlns:cdr="http://schemas.openxmlformats.org/drawingml/2006/chartDrawing">
    <cdr:from>
      <cdr:x>0.9194</cdr:x>
      <cdr:y>0.90922</cdr:y>
    </cdr:from>
    <cdr:to>
      <cdr:x>0.92657</cdr:x>
      <cdr:y>0.95342</cdr:y>
    </cdr:to>
    <cdr:sp macro="" textlink="">
      <cdr:nvSpPr>
        <cdr:cNvPr id="2" name="Ovale 1"/>
        <cdr:cNvSpPr/>
      </cdr:nvSpPr>
      <cdr:spPr>
        <a:xfrm xmlns:a="http://schemas.openxmlformats.org/drawingml/2006/main">
          <a:off x="5863303" y="2213001"/>
          <a:ext cx="45719" cy="107577"/>
        </a:xfrm>
        <a:prstGeom xmlns:a="http://schemas.openxmlformats.org/drawingml/2006/main" prst="ellipse">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D0F58-45B4-4649-A620-8FCDE828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5484</Words>
  <Characters>32991</Characters>
  <Application>Microsoft Office Word</Application>
  <DocSecurity>0</DocSecurity>
  <Lines>274</Lines>
  <Paragraphs>76</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38399</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Licari</dc:creator>
  <cp:lastModifiedBy>Enza Lucia Rocca Agnese Vaccaro</cp:lastModifiedBy>
  <cp:revision>17</cp:revision>
  <cp:lastPrinted>2019-10-28T12:38:00Z</cp:lastPrinted>
  <dcterms:created xsi:type="dcterms:W3CDTF">2025-06-07T17:46:00Z</dcterms:created>
  <dcterms:modified xsi:type="dcterms:W3CDTF">2025-06-20T08:32:00Z</dcterms:modified>
</cp:coreProperties>
</file>